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09D9A" w14:textId="02C9FF68" w:rsidR="00453B23" w:rsidRPr="006D3EDD" w:rsidRDefault="00453B23" w:rsidP="00453B23">
      <w:pPr>
        <w:ind w:left="3600" w:firstLine="720"/>
        <w:jc w:val="right"/>
        <w:rPr>
          <w:rFonts w:ascii="Book Antiqua" w:hAnsi="Book Antiqua" w:cs="Arial"/>
          <w:b/>
          <w:sz w:val="23"/>
          <w:szCs w:val="23"/>
          <w:u w:val="single"/>
          <w:lang w:val="en-IE"/>
        </w:rPr>
      </w:pPr>
    </w:p>
    <w:p w14:paraId="30426DCF" w14:textId="61DDAD5E" w:rsidR="006D3EDD" w:rsidRPr="0085255F" w:rsidRDefault="006D3EDD" w:rsidP="0085255F">
      <w:pPr>
        <w:ind w:left="284" w:right="260"/>
        <w:jc w:val="center"/>
        <w:rPr>
          <w:rFonts w:asciiTheme="minorHAnsi" w:hAnsiTheme="minorHAnsi" w:cstheme="minorHAnsi"/>
          <w:b/>
          <w:bCs/>
          <w:sz w:val="28"/>
          <w:szCs w:val="28"/>
        </w:rPr>
      </w:pPr>
      <w:r w:rsidRPr="0085255F">
        <w:rPr>
          <w:rFonts w:asciiTheme="minorHAnsi" w:hAnsiTheme="minorHAnsi" w:cstheme="minorHAnsi"/>
          <w:b/>
          <w:bCs/>
          <w:sz w:val="28"/>
          <w:szCs w:val="28"/>
        </w:rPr>
        <w:t>Supporting Tallaght University Hospital’s (TUH) Integrated Care for Older Persons: Testing an approach to identify the common housing hazards in housing affecting older people in South Dublin</w:t>
      </w:r>
    </w:p>
    <w:p w14:paraId="7F7B5CD6" w14:textId="77777777" w:rsidR="006D3EDD" w:rsidRPr="006D3EDD" w:rsidRDefault="006D3EDD" w:rsidP="006D3EDD">
      <w:pPr>
        <w:rPr>
          <w:rFonts w:asciiTheme="minorHAnsi" w:hAnsiTheme="minorHAnsi" w:cstheme="minorHAnsi"/>
          <w:sz w:val="23"/>
          <w:szCs w:val="23"/>
        </w:rPr>
      </w:pPr>
    </w:p>
    <w:p w14:paraId="3AA57840" w14:textId="2613B954" w:rsidR="006D3EDD" w:rsidRPr="006D3EDD" w:rsidRDefault="000C68FE" w:rsidP="006D3EDD">
      <w:pPr>
        <w:rPr>
          <w:rFonts w:asciiTheme="minorHAnsi" w:hAnsiTheme="minorHAnsi" w:cstheme="minorHAnsi"/>
          <w:b/>
          <w:bCs/>
          <w:sz w:val="23"/>
          <w:szCs w:val="23"/>
        </w:rPr>
      </w:pPr>
      <w:r>
        <w:rPr>
          <w:rFonts w:asciiTheme="minorHAnsi" w:hAnsiTheme="minorHAnsi" w:cstheme="minorHAnsi"/>
          <w:b/>
          <w:bCs/>
          <w:sz w:val="23"/>
          <w:szCs w:val="23"/>
        </w:rPr>
        <w:t>Context:</w:t>
      </w:r>
    </w:p>
    <w:p w14:paraId="7903087D" w14:textId="77777777" w:rsidR="006D3EDD" w:rsidRPr="006D3EDD" w:rsidRDefault="006D3EDD" w:rsidP="006D3EDD">
      <w:pPr>
        <w:rPr>
          <w:rFonts w:asciiTheme="minorHAnsi" w:hAnsiTheme="minorHAnsi" w:cstheme="minorHAnsi"/>
          <w:sz w:val="23"/>
          <w:szCs w:val="23"/>
        </w:rPr>
      </w:pPr>
      <w:r w:rsidRPr="006D3EDD">
        <w:rPr>
          <w:rFonts w:asciiTheme="minorHAnsi" w:hAnsiTheme="minorHAnsi" w:cstheme="minorHAnsi"/>
          <w:sz w:val="23"/>
          <w:szCs w:val="23"/>
        </w:rPr>
        <w:t xml:space="preserve">The quality of older people’s housing is a determinant of health. This study will explore the linkages between housing conditions and older people’s health with a view to informing housing providers and policy makers of the key components of healthy homes. </w:t>
      </w:r>
      <w:r w:rsidRPr="006D3EDD">
        <w:rPr>
          <w:rFonts w:asciiTheme="minorHAnsi" w:hAnsiTheme="minorHAnsi" w:cstheme="minorHAnsi"/>
          <w:bCs/>
          <w:sz w:val="23"/>
          <w:szCs w:val="23"/>
        </w:rPr>
        <w:t>This proposal</w:t>
      </w:r>
      <w:r w:rsidRPr="006D3EDD">
        <w:rPr>
          <w:rFonts w:asciiTheme="minorHAnsi" w:hAnsiTheme="minorHAnsi" w:cstheme="minorHAnsi"/>
          <w:sz w:val="23"/>
          <w:szCs w:val="23"/>
        </w:rPr>
        <w:t xml:space="preserve"> will involve stakeholder engagement, </w:t>
      </w:r>
      <w:proofErr w:type="gramStart"/>
      <w:r w:rsidRPr="006D3EDD">
        <w:rPr>
          <w:rFonts w:asciiTheme="minorHAnsi" w:hAnsiTheme="minorHAnsi" w:cstheme="minorHAnsi"/>
          <w:sz w:val="23"/>
          <w:szCs w:val="23"/>
        </w:rPr>
        <w:t>research</w:t>
      </w:r>
      <w:proofErr w:type="gramEnd"/>
      <w:r w:rsidRPr="006D3EDD">
        <w:rPr>
          <w:rFonts w:asciiTheme="minorHAnsi" w:hAnsiTheme="minorHAnsi" w:cstheme="minorHAnsi"/>
          <w:sz w:val="23"/>
          <w:szCs w:val="23"/>
        </w:rPr>
        <w:t xml:space="preserve"> and housing case studies in the Tallaght area to investigate the links between housing conditions and the health of older people, and the impact on TUH healthcare delivery. The overall findings will be used to support the TUH integrated care team by highlighting key housing related issues to improve the health of older people in their homes. This project will also be used to initiate a larger conversation and promote further research into housing conditions and TUH’s Integrated Care for Older Persons.  </w:t>
      </w:r>
    </w:p>
    <w:p w14:paraId="04698A11" w14:textId="77777777" w:rsidR="006D3EDD" w:rsidRPr="006D3EDD" w:rsidRDefault="006D3EDD" w:rsidP="006D3EDD">
      <w:pPr>
        <w:rPr>
          <w:rFonts w:asciiTheme="minorHAnsi" w:hAnsiTheme="minorHAnsi" w:cstheme="minorHAnsi"/>
          <w:sz w:val="23"/>
          <w:szCs w:val="23"/>
        </w:rPr>
      </w:pPr>
    </w:p>
    <w:p w14:paraId="5FE25BF5" w14:textId="77777777" w:rsidR="006D3EDD" w:rsidRPr="006D3EDD" w:rsidRDefault="006D3EDD" w:rsidP="006D3EDD">
      <w:pPr>
        <w:rPr>
          <w:rFonts w:asciiTheme="minorHAnsi" w:hAnsiTheme="minorHAnsi" w:cstheme="minorHAnsi"/>
          <w:b/>
          <w:bCs/>
          <w:sz w:val="23"/>
          <w:szCs w:val="23"/>
        </w:rPr>
      </w:pPr>
      <w:r w:rsidRPr="006D3EDD">
        <w:rPr>
          <w:rFonts w:asciiTheme="minorHAnsi" w:hAnsiTheme="minorHAnsi" w:cstheme="minorHAnsi"/>
          <w:b/>
          <w:bCs/>
          <w:sz w:val="23"/>
          <w:szCs w:val="23"/>
        </w:rPr>
        <w:t>Why is this study being conducted?</w:t>
      </w:r>
    </w:p>
    <w:p w14:paraId="09EE9F2C" w14:textId="77777777" w:rsidR="006D3EDD" w:rsidRPr="006D3EDD" w:rsidRDefault="006D3EDD" w:rsidP="006D3EDD">
      <w:pPr>
        <w:rPr>
          <w:rFonts w:asciiTheme="minorHAnsi" w:hAnsiTheme="minorHAnsi" w:cstheme="minorHAnsi"/>
          <w:sz w:val="23"/>
          <w:szCs w:val="23"/>
        </w:rPr>
      </w:pPr>
      <w:r w:rsidRPr="006D3EDD">
        <w:rPr>
          <w:rFonts w:asciiTheme="minorHAnsi" w:hAnsiTheme="minorHAnsi" w:cstheme="minorHAnsi"/>
          <w:sz w:val="23"/>
          <w:szCs w:val="23"/>
        </w:rPr>
        <w:t xml:space="preserve">Housing is critical to the health and well-being of older people and is a vital part of preventative medicine in the community. Supporting community health is central to Tallaght University Hospital’s (TUH) Integrated Care for Older Person’s Team who provide multi-disciplinary care to improve the quality and outcomes of care for older persons and their </w:t>
      </w:r>
      <w:proofErr w:type="spellStart"/>
      <w:r w:rsidRPr="006D3EDD">
        <w:rPr>
          <w:rFonts w:asciiTheme="minorHAnsi" w:hAnsiTheme="minorHAnsi" w:cstheme="minorHAnsi"/>
          <w:sz w:val="23"/>
          <w:szCs w:val="23"/>
        </w:rPr>
        <w:t>carers</w:t>
      </w:r>
      <w:proofErr w:type="spellEnd"/>
      <w:r w:rsidRPr="006D3EDD">
        <w:rPr>
          <w:rFonts w:asciiTheme="minorHAnsi" w:hAnsiTheme="minorHAnsi" w:cstheme="minorHAnsi"/>
          <w:sz w:val="23"/>
          <w:szCs w:val="23"/>
        </w:rPr>
        <w:t xml:space="preserve"> and support persons to live well in their own homes and communities. </w:t>
      </w:r>
    </w:p>
    <w:p w14:paraId="225D144F" w14:textId="77777777" w:rsidR="006D3EDD" w:rsidRPr="006D3EDD" w:rsidRDefault="006D3EDD" w:rsidP="006D3EDD">
      <w:pPr>
        <w:rPr>
          <w:rFonts w:asciiTheme="minorHAnsi" w:hAnsiTheme="minorHAnsi" w:cstheme="minorHAnsi"/>
          <w:sz w:val="23"/>
          <w:szCs w:val="23"/>
        </w:rPr>
      </w:pPr>
    </w:p>
    <w:p w14:paraId="67E0CC73" w14:textId="77777777" w:rsidR="006D3EDD" w:rsidRPr="006D3EDD" w:rsidRDefault="006D3EDD" w:rsidP="006D3EDD">
      <w:pPr>
        <w:rPr>
          <w:rFonts w:asciiTheme="minorHAnsi" w:hAnsiTheme="minorHAnsi" w:cstheme="minorHAnsi"/>
          <w:sz w:val="23"/>
          <w:szCs w:val="23"/>
        </w:rPr>
      </w:pPr>
      <w:r w:rsidRPr="004E2ABA">
        <w:rPr>
          <w:rFonts w:asciiTheme="minorHAnsi" w:hAnsiTheme="minorHAnsi" w:cstheme="minorHAnsi"/>
          <w:sz w:val="23"/>
          <w:szCs w:val="23"/>
        </w:rPr>
        <w:t>The TUH team is part of the Integrated Care Programme for Older People (ICPOP) aimed at promoting the development of services and care pathways to improve outcomes for older people in the community. These pathways involve various aspects of the built environment including housing, which acts as critical infrastructure for the hospital and community care ecosystem. In this regard it is important to understand the impact of housing on the health of older people in the Tallaght area and the downstream consequences for TUH in terms of both preventative medicine and the direct care of older people as patients.</w:t>
      </w:r>
    </w:p>
    <w:p w14:paraId="361048FF" w14:textId="77777777" w:rsidR="006D3EDD" w:rsidRPr="006D3EDD" w:rsidRDefault="006D3EDD" w:rsidP="006D3EDD">
      <w:pPr>
        <w:rPr>
          <w:rFonts w:asciiTheme="minorHAnsi" w:hAnsiTheme="minorHAnsi" w:cstheme="minorHAnsi"/>
          <w:sz w:val="23"/>
          <w:szCs w:val="23"/>
        </w:rPr>
      </w:pPr>
    </w:p>
    <w:p w14:paraId="29CD23B9" w14:textId="15172941" w:rsidR="006D3EDD" w:rsidRDefault="006D3EDD" w:rsidP="006D3EDD">
      <w:pPr>
        <w:rPr>
          <w:rFonts w:asciiTheme="minorHAnsi" w:hAnsiTheme="minorHAnsi" w:cstheme="minorHAnsi"/>
          <w:sz w:val="23"/>
          <w:szCs w:val="23"/>
        </w:rPr>
      </w:pPr>
      <w:r w:rsidRPr="006D3EDD">
        <w:rPr>
          <w:rFonts w:asciiTheme="minorHAnsi" w:hAnsiTheme="minorHAnsi" w:cstheme="minorHAnsi"/>
          <w:b/>
          <w:bCs/>
          <w:sz w:val="23"/>
          <w:szCs w:val="23"/>
        </w:rPr>
        <w:t xml:space="preserve">The Research Team: </w:t>
      </w:r>
      <w:r w:rsidRPr="006D3EDD">
        <w:rPr>
          <w:rFonts w:asciiTheme="minorHAnsi" w:hAnsiTheme="minorHAnsi" w:cstheme="minorHAnsi"/>
          <w:sz w:val="23"/>
          <w:szCs w:val="23"/>
        </w:rPr>
        <w:t>The Principal Investigator (Professor Des O’Neill) and one of the co-investigators (Professor Sean Kennelly) will oversee the study from a health perspective and in relation to their role in the Integrated Care Team. However</w:t>
      </w:r>
      <w:r w:rsidR="00C84157">
        <w:rPr>
          <w:rFonts w:asciiTheme="minorHAnsi" w:hAnsiTheme="minorHAnsi" w:cstheme="minorHAnsi"/>
          <w:sz w:val="23"/>
          <w:szCs w:val="23"/>
        </w:rPr>
        <w:t>,</w:t>
      </w:r>
      <w:r w:rsidRPr="006D3EDD">
        <w:rPr>
          <w:rFonts w:asciiTheme="minorHAnsi" w:hAnsiTheme="minorHAnsi" w:cstheme="minorHAnsi"/>
          <w:sz w:val="23"/>
          <w:szCs w:val="23"/>
        </w:rPr>
        <w:t xml:space="preserve"> the literature review</w:t>
      </w:r>
      <w:r w:rsidR="00C84157">
        <w:rPr>
          <w:rFonts w:asciiTheme="minorHAnsi" w:hAnsiTheme="minorHAnsi" w:cstheme="minorHAnsi"/>
          <w:sz w:val="23"/>
          <w:szCs w:val="23"/>
        </w:rPr>
        <w:t>;</w:t>
      </w:r>
      <w:r w:rsidRPr="006D3EDD">
        <w:rPr>
          <w:rFonts w:asciiTheme="minorHAnsi" w:hAnsiTheme="minorHAnsi" w:cstheme="minorHAnsi"/>
          <w:sz w:val="23"/>
          <w:szCs w:val="23"/>
        </w:rPr>
        <w:t xml:space="preserve"> qualitative data collection and analysis will be carried out by research staff from </w:t>
      </w:r>
      <w:r w:rsidR="00082AC8" w:rsidRPr="006D3EDD">
        <w:rPr>
          <w:rFonts w:asciiTheme="minorHAnsi" w:hAnsiTheme="minorHAnsi" w:cstheme="minorHAnsi"/>
          <w:sz w:val="23"/>
          <w:szCs w:val="23"/>
        </w:rPr>
        <w:t>TrinityHaus,</w:t>
      </w:r>
      <w:r w:rsidRPr="006D3EDD">
        <w:rPr>
          <w:rFonts w:asciiTheme="minorHAnsi" w:hAnsiTheme="minorHAnsi" w:cstheme="minorHAnsi"/>
          <w:sz w:val="23"/>
          <w:szCs w:val="23"/>
        </w:rPr>
        <w:t xml:space="preserve"> and the technical assessments will be contracted to the Building Research Establishment [BRE Ireland] who have expertise in this field in Northern Ireland and UK contexts. The involvement of a health care professional in this research process is essential in terms of identifying hospital patients who can participate in the case studies to be undertaken</w:t>
      </w:r>
      <w:r w:rsidR="00C84157">
        <w:rPr>
          <w:rFonts w:asciiTheme="minorHAnsi" w:hAnsiTheme="minorHAnsi" w:cstheme="minorHAnsi"/>
          <w:sz w:val="23"/>
          <w:szCs w:val="23"/>
        </w:rPr>
        <w:t xml:space="preserve"> </w:t>
      </w:r>
      <w:r w:rsidRPr="006D3EDD">
        <w:rPr>
          <w:rFonts w:asciiTheme="minorHAnsi" w:hAnsiTheme="minorHAnsi" w:cstheme="minorHAnsi"/>
          <w:sz w:val="23"/>
          <w:szCs w:val="23"/>
        </w:rPr>
        <w:t>and advising on areas of enquiry in the research questions.</w:t>
      </w:r>
    </w:p>
    <w:p w14:paraId="6D3FCBFD" w14:textId="77777777" w:rsidR="00405CFF" w:rsidRDefault="00405CFF" w:rsidP="006D3EDD">
      <w:pPr>
        <w:rPr>
          <w:rFonts w:asciiTheme="minorHAnsi" w:hAnsiTheme="minorHAnsi" w:cstheme="minorHAnsi"/>
          <w:sz w:val="23"/>
          <w:szCs w:val="23"/>
        </w:rPr>
      </w:pPr>
    </w:p>
    <w:tbl>
      <w:tblPr>
        <w:tblStyle w:val="TableGrid"/>
        <w:tblW w:w="0" w:type="auto"/>
        <w:tblLook w:val="04A0" w:firstRow="1" w:lastRow="0" w:firstColumn="1" w:lastColumn="0" w:noHBand="0" w:noVBand="1"/>
      </w:tblPr>
      <w:tblGrid>
        <w:gridCol w:w="10456"/>
      </w:tblGrid>
      <w:tr w:rsidR="000C68FE" w14:paraId="26C340AF" w14:textId="77777777" w:rsidTr="000C68FE">
        <w:tc>
          <w:tcPr>
            <w:tcW w:w="10456" w:type="dxa"/>
          </w:tcPr>
          <w:p w14:paraId="4636C747" w14:textId="3B10241E" w:rsidR="000C68FE" w:rsidRDefault="000C68FE" w:rsidP="000C68FE">
            <w:pPr>
              <w:spacing w:after="120" w:line="276" w:lineRule="auto"/>
              <w:rPr>
                <w:rFonts w:asciiTheme="minorHAnsi" w:hAnsiTheme="minorHAnsi" w:cstheme="minorHAnsi"/>
                <w:b/>
                <w:bCs/>
                <w:sz w:val="23"/>
                <w:szCs w:val="23"/>
              </w:rPr>
            </w:pPr>
            <w:r>
              <w:rPr>
                <w:rFonts w:asciiTheme="minorHAnsi" w:hAnsiTheme="minorHAnsi" w:cstheme="minorHAnsi"/>
                <w:b/>
                <w:bCs/>
                <w:sz w:val="23"/>
                <w:szCs w:val="23"/>
              </w:rPr>
              <w:t xml:space="preserve">Background </w:t>
            </w:r>
          </w:p>
          <w:p w14:paraId="3B437A9A" w14:textId="6649559F" w:rsidR="000C68FE" w:rsidRDefault="000C68FE" w:rsidP="000C68FE">
            <w:pPr>
              <w:rPr>
                <w:rFonts w:asciiTheme="minorHAnsi" w:hAnsiTheme="minorHAnsi" w:cstheme="minorHAnsi"/>
                <w:sz w:val="23"/>
                <w:szCs w:val="23"/>
              </w:rPr>
            </w:pPr>
            <w:r w:rsidRPr="000C68FE">
              <w:rPr>
                <w:rFonts w:asciiTheme="minorHAnsi" w:hAnsiTheme="minorHAnsi" w:cstheme="minorHAnsi"/>
                <w:sz w:val="23"/>
                <w:szCs w:val="23"/>
              </w:rPr>
              <w:t>A consortium was established in 2019, chaired by The Housing Agency, to research the common housing hazards in Irish housing affecting older people, with the aim of helping them to live more healthily and safely in their homes. A scoping study commissioned by the BRE Trust undertook a review of international research on the impact of housing on health, particularly the health of older people.(</w:t>
            </w:r>
            <w:hyperlink r:id="rId7" w:history="1">
              <w:r w:rsidRPr="000C68FE">
                <w:rPr>
                  <w:rStyle w:val="Hyperlink"/>
                  <w:rFonts w:asciiTheme="minorHAnsi" w:hAnsiTheme="minorHAnsi" w:cstheme="minorHAnsi"/>
                  <w:sz w:val="23"/>
                  <w:szCs w:val="23"/>
                </w:rPr>
                <w:t>The Cost of Poor Housing in Ireland</w:t>
              </w:r>
            </w:hyperlink>
            <w:r w:rsidRPr="000C68FE">
              <w:rPr>
                <w:rFonts w:asciiTheme="minorHAnsi" w:hAnsiTheme="minorHAnsi" w:cstheme="minorHAnsi"/>
                <w:sz w:val="23"/>
                <w:szCs w:val="23"/>
              </w:rPr>
              <w:t xml:space="preserve">) </w:t>
            </w:r>
            <w:r w:rsidRPr="000C68FE">
              <w:rPr>
                <w:rFonts w:ascii="Calibri" w:hAnsi="Calibri" w:cs="Calibri"/>
                <w:sz w:val="23"/>
                <w:szCs w:val="23"/>
              </w:rPr>
              <w:t>The research concluded</w:t>
            </w:r>
            <w:r w:rsidR="00082AC8">
              <w:rPr>
                <w:rFonts w:ascii="Calibri" w:hAnsi="Calibri" w:cs="Calibri"/>
                <w:sz w:val="23"/>
                <w:szCs w:val="23"/>
              </w:rPr>
              <w:t xml:space="preserve"> </w:t>
            </w:r>
            <w:r w:rsidRPr="000C68FE">
              <w:rPr>
                <w:rFonts w:ascii="Calibri" w:hAnsi="Calibri" w:cs="Calibri"/>
                <w:sz w:val="23"/>
                <w:szCs w:val="23"/>
              </w:rPr>
              <w:t>that around 160,000 (8%) of Irish homes are likely to present a serious health and safety risk to their occupants (and visitors), as measured through the Health and Safety Rating System [HHSRS]</w:t>
            </w:r>
            <w:r>
              <w:rPr>
                <w:rFonts w:ascii="Calibri" w:hAnsi="Calibri" w:cs="Calibri"/>
                <w:sz w:val="23"/>
                <w:szCs w:val="23"/>
              </w:rPr>
              <w:t xml:space="preserve">, with the most </w:t>
            </w:r>
            <w:r w:rsidRPr="000C68FE">
              <w:rPr>
                <w:rFonts w:ascii="Calibri" w:hAnsi="Calibri" w:cs="Calibri"/>
                <w:sz w:val="23"/>
                <w:szCs w:val="23"/>
              </w:rPr>
              <w:t xml:space="preserve">common severe home hazards relating to cold </w:t>
            </w:r>
            <w:r>
              <w:rPr>
                <w:rFonts w:ascii="Calibri" w:hAnsi="Calibri" w:cs="Calibri"/>
                <w:sz w:val="23"/>
                <w:szCs w:val="23"/>
              </w:rPr>
              <w:t xml:space="preserve">homes and falls. </w:t>
            </w:r>
          </w:p>
        </w:tc>
      </w:tr>
    </w:tbl>
    <w:p w14:paraId="308CF8E3" w14:textId="43819542" w:rsidR="00D47A73" w:rsidRDefault="00D47A73">
      <w:pPr>
        <w:spacing w:after="200" w:line="276" w:lineRule="auto"/>
        <w:rPr>
          <w:rFonts w:asciiTheme="minorHAnsi" w:hAnsiTheme="minorHAnsi" w:cstheme="minorHAnsi"/>
          <w:b/>
          <w:b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6071"/>
      </w:tblGrid>
      <w:tr w:rsidR="00E6707A" w14:paraId="13CDEF1D" w14:textId="77777777" w:rsidTr="0037568C">
        <w:tc>
          <w:tcPr>
            <w:tcW w:w="4395" w:type="dxa"/>
          </w:tcPr>
          <w:p w14:paraId="21E91EB8" w14:textId="77777777" w:rsidR="00E6707A" w:rsidRPr="00E6707A" w:rsidRDefault="00E6707A" w:rsidP="006241A0">
            <w:pPr>
              <w:jc w:val="both"/>
              <w:rPr>
                <w:rFonts w:asciiTheme="minorHAnsi" w:hAnsiTheme="minorHAnsi" w:cstheme="minorHAnsi"/>
                <w:b/>
                <w:bCs/>
                <w:sz w:val="23"/>
                <w:szCs w:val="23"/>
                <w:lang w:val="en-IE"/>
              </w:rPr>
            </w:pPr>
            <w:r w:rsidRPr="00B627FC">
              <w:rPr>
                <w:rFonts w:asciiTheme="minorHAnsi" w:hAnsiTheme="minorHAnsi" w:cstheme="minorHAnsi"/>
                <w:b/>
                <w:bCs/>
                <w:sz w:val="23"/>
                <w:szCs w:val="23"/>
                <w:lang w:val="en-IE"/>
              </w:rPr>
              <w:t>Partners</w:t>
            </w:r>
          </w:p>
        </w:tc>
        <w:tc>
          <w:tcPr>
            <w:tcW w:w="6071" w:type="dxa"/>
          </w:tcPr>
          <w:p w14:paraId="074C43B3" w14:textId="77777777" w:rsidR="00E6707A" w:rsidRDefault="00E6707A" w:rsidP="006241A0">
            <w:pPr>
              <w:jc w:val="both"/>
              <w:rPr>
                <w:rFonts w:asciiTheme="minorHAnsi" w:hAnsiTheme="minorHAnsi" w:cstheme="minorHAnsi"/>
                <w:sz w:val="23"/>
                <w:szCs w:val="23"/>
                <w:lang w:val="en-IE"/>
              </w:rPr>
            </w:pPr>
          </w:p>
        </w:tc>
      </w:tr>
      <w:tr w:rsidR="00E6707A" w14:paraId="329FF6C5" w14:textId="77777777" w:rsidTr="0037568C">
        <w:tc>
          <w:tcPr>
            <w:tcW w:w="4395" w:type="dxa"/>
          </w:tcPr>
          <w:p w14:paraId="5E5AF124" w14:textId="77777777" w:rsidR="00E6707A" w:rsidRPr="00E6707A" w:rsidRDefault="00E6707A" w:rsidP="006241A0">
            <w:pPr>
              <w:rPr>
                <w:rFonts w:ascii="Calibri" w:hAnsi="Calibri" w:cs="Calibri"/>
                <w:b/>
                <w:bCs/>
                <w:sz w:val="24"/>
                <w:szCs w:val="24"/>
              </w:rPr>
            </w:pPr>
            <w:r>
              <w:rPr>
                <w:rFonts w:asciiTheme="minorHAnsi" w:hAnsiTheme="minorHAnsi" w:cstheme="minorHAnsi"/>
                <w:noProof/>
                <w:sz w:val="23"/>
                <w:szCs w:val="23"/>
              </w:rPr>
              <w:drawing>
                <wp:anchor distT="0" distB="0" distL="114300" distR="114300" simplePos="0" relativeHeight="251659264" behindDoc="0" locked="0" layoutInCell="1" allowOverlap="1" wp14:anchorId="50893C2C" wp14:editId="0E340EEC">
                  <wp:simplePos x="0" y="0"/>
                  <wp:positionH relativeFrom="column">
                    <wp:posOffset>236220</wp:posOffset>
                  </wp:positionH>
                  <wp:positionV relativeFrom="paragraph">
                    <wp:posOffset>0</wp:posOffset>
                  </wp:positionV>
                  <wp:extent cx="2114309" cy="1190625"/>
                  <wp:effectExtent l="0" t="0" r="63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309"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7650">
              <w:rPr>
                <w:rFonts w:ascii="Calibri" w:hAnsi="Calibri" w:cs="Calibri"/>
                <w:b/>
                <w:bCs/>
                <w:sz w:val="24"/>
                <w:szCs w:val="24"/>
              </w:rPr>
              <w:t xml:space="preserve"> </w:t>
            </w:r>
          </w:p>
        </w:tc>
        <w:tc>
          <w:tcPr>
            <w:tcW w:w="6071" w:type="dxa"/>
          </w:tcPr>
          <w:p w14:paraId="61E1E877" w14:textId="5D47D1A0" w:rsidR="00E6707A" w:rsidRDefault="00E6707A" w:rsidP="006241A0">
            <w:pPr>
              <w:rPr>
                <w:rFonts w:asciiTheme="minorHAnsi" w:hAnsiTheme="minorHAnsi" w:cstheme="minorHAnsi"/>
                <w:sz w:val="23"/>
                <w:szCs w:val="23"/>
                <w:lang w:val="en-IE"/>
              </w:rPr>
            </w:pPr>
            <w:r w:rsidRPr="00B627FC">
              <w:rPr>
                <w:rFonts w:asciiTheme="minorHAnsi" w:hAnsiTheme="minorHAnsi" w:cstheme="minorHAnsi"/>
                <w:sz w:val="23"/>
                <w:szCs w:val="23"/>
                <w:lang w:val="en-IE"/>
              </w:rPr>
              <w:t xml:space="preserve">The </w:t>
            </w:r>
            <w:r w:rsidRPr="00405CFF">
              <w:rPr>
                <w:rFonts w:asciiTheme="minorHAnsi" w:hAnsiTheme="minorHAnsi" w:cstheme="minorHAnsi"/>
                <w:b/>
                <w:bCs/>
                <w:sz w:val="23"/>
                <w:szCs w:val="23"/>
                <w:lang w:val="en-IE"/>
              </w:rPr>
              <w:t>Centre for Excellence in Universal Design</w:t>
            </w:r>
            <w:r w:rsidRPr="00B627FC">
              <w:rPr>
                <w:rFonts w:asciiTheme="minorHAnsi" w:hAnsiTheme="minorHAnsi" w:cstheme="minorHAnsi"/>
                <w:sz w:val="23"/>
                <w:szCs w:val="23"/>
                <w:lang w:val="en-IE"/>
              </w:rPr>
              <w:t xml:space="preserve"> (CEUD) is dedicated to enabling the design of environments that can be accessed, understood and used regardless of a person's age, size, ability or disability. The CEUD is part of the National Disability Authority</w:t>
            </w:r>
            <w:r w:rsidR="00405CFF">
              <w:rPr>
                <w:rFonts w:asciiTheme="minorHAnsi" w:hAnsiTheme="minorHAnsi" w:cstheme="minorHAnsi"/>
                <w:sz w:val="23"/>
                <w:szCs w:val="23"/>
                <w:lang w:val="en-IE"/>
              </w:rPr>
              <w:t>.</w:t>
            </w:r>
          </w:p>
        </w:tc>
      </w:tr>
      <w:tr w:rsidR="00E6707A" w14:paraId="5211E4EB" w14:textId="77777777" w:rsidTr="0037568C">
        <w:tc>
          <w:tcPr>
            <w:tcW w:w="4395" w:type="dxa"/>
            <w:vAlign w:val="center"/>
          </w:tcPr>
          <w:p w14:paraId="3DCABFBB" w14:textId="5BF2EE27" w:rsidR="00E6707A" w:rsidRDefault="0037568C" w:rsidP="0037568C">
            <w:pPr>
              <w:jc w:val="center"/>
              <w:rPr>
                <w:noProof/>
              </w:rPr>
            </w:pPr>
            <w:r>
              <w:rPr>
                <w:noProof/>
              </w:rPr>
              <w:drawing>
                <wp:inline distT="0" distB="0" distL="0" distR="0" wp14:anchorId="7975EEE5" wp14:editId="1EB0940F">
                  <wp:extent cx="2257754" cy="91186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3942" cy="918398"/>
                          </a:xfrm>
                          <a:prstGeom prst="rect">
                            <a:avLst/>
                          </a:prstGeom>
                          <a:noFill/>
                          <a:ln>
                            <a:noFill/>
                          </a:ln>
                        </pic:spPr>
                      </pic:pic>
                    </a:graphicData>
                  </a:graphic>
                </wp:inline>
              </w:drawing>
            </w:r>
          </w:p>
          <w:p w14:paraId="262A2C72" w14:textId="3F5E5A7F" w:rsidR="00E6707A" w:rsidRDefault="00E6707A" w:rsidP="006241A0">
            <w:pPr>
              <w:jc w:val="both"/>
              <w:rPr>
                <w:rFonts w:asciiTheme="minorHAnsi" w:hAnsiTheme="minorHAnsi" w:cstheme="minorHAnsi"/>
                <w:sz w:val="23"/>
                <w:szCs w:val="23"/>
                <w:lang w:val="en-IE"/>
              </w:rPr>
            </w:pPr>
          </w:p>
        </w:tc>
        <w:tc>
          <w:tcPr>
            <w:tcW w:w="6071" w:type="dxa"/>
          </w:tcPr>
          <w:p w14:paraId="6FE6D07D" w14:textId="77777777" w:rsidR="0037568C" w:rsidRDefault="0037568C" w:rsidP="0037568C">
            <w:pPr>
              <w:rPr>
                <w:rStyle w:val="normaltextrun"/>
                <w:rFonts w:ascii="Calibri" w:hAnsi="Calibri" w:cs="Calibri"/>
                <w:sz w:val="23"/>
                <w:szCs w:val="23"/>
                <w:shd w:val="clear" w:color="auto" w:fill="FFFFFF"/>
              </w:rPr>
            </w:pPr>
            <w:r w:rsidRPr="0037568C">
              <w:rPr>
                <w:rFonts w:ascii="Calibri" w:hAnsi="Calibri" w:cs="Calibri"/>
                <w:b/>
                <w:bCs/>
                <w:sz w:val="23"/>
                <w:szCs w:val="23"/>
                <w:lang w:val="en-IE"/>
              </w:rPr>
              <w:t>Age Action</w:t>
            </w:r>
            <w:r w:rsidRPr="0037568C">
              <w:rPr>
                <w:rFonts w:ascii="Calibri" w:hAnsi="Calibri" w:cs="Calibri"/>
                <w:sz w:val="23"/>
                <w:szCs w:val="23"/>
                <w:lang w:val="en-IE"/>
              </w:rPr>
              <w:t xml:space="preserve"> advocates for a society that enables all older people to participate and to live full, independent lives, </w:t>
            </w:r>
            <w:r w:rsidRPr="0037568C">
              <w:rPr>
                <w:rStyle w:val="normaltextrun"/>
                <w:rFonts w:ascii="Calibri" w:hAnsi="Calibri" w:cs="Calibri"/>
                <w:sz w:val="23"/>
                <w:szCs w:val="23"/>
                <w:shd w:val="clear" w:color="auto" w:fill="FFFFFF"/>
              </w:rPr>
              <w:t>based on the realisation of their rights and equality, </w:t>
            </w:r>
          </w:p>
          <w:p w14:paraId="1B931624" w14:textId="04D93417" w:rsidR="0037568C" w:rsidRPr="0037568C" w:rsidRDefault="0037568C" w:rsidP="0037568C">
            <w:pPr>
              <w:rPr>
                <w:rFonts w:ascii="Calibri" w:hAnsi="Calibri" w:cs="Calibri"/>
                <w:sz w:val="23"/>
                <w:szCs w:val="23"/>
                <w:lang w:val="en-IE"/>
              </w:rPr>
            </w:pPr>
            <w:proofErr w:type="spellStart"/>
            <w:r w:rsidRPr="0037568C">
              <w:rPr>
                <w:rStyle w:val="normaltextrun"/>
                <w:rFonts w:ascii="Calibri" w:hAnsi="Calibri" w:cs="Calibri"/>
                <w:sz w:val="23"/>
                <w:szCs w:val="23"/>
                <w:shd w:val="clear" w:color="auto" w:fill="FFFFFF"/>
              </w:rPr>
              <w:t>recognisi</w:t>
            </w:r>
            <w:r>
              <w:rPr>
                <w:rStyle w:val="normaltextrun"/>
                <w:rFonts w:ascii="Calibri" w:hAnsi="Calibri" w:cs="Calibri"/>
                <w:sz w:val="23"/>
                <w:szCs w:val="23"/>
                <w:shd w:val="clear" w:color="auto" w:fill="FFFFFF"/>
              </w:rPr>
              <w:t>ng</w:t>
            </w:r>
            <w:proofErr w:type="spellEnd"/>
            <w:r w:rsidRPr="0037568C">
              <w:rPr>
                <w:rStyle w:val="normaltextrun"/>
                <w:rFonts w:ascii="Calibri" w:hAnsi="Calibri" w:cs="Calibri"/>
                <w:sz w:val="23"/>
                <w:szCs w:val="23"/>
                <w:shd w:val="clear" w:color="auto" w:fill="FFFFFF"/>
              </w:rPr>
              <w:t xml:space="preserve"> the diversity of their experience and situation. Our work is driven by an </w:t>
            </w:r>
            <w:proofErr w:type="spellStart"/>
            <w:r w:rsidRPr="0037568C">
              <w:rPr>
                <w:rStyle w:val="normaltextrun"/>
                <w:rFonts w:ascii="Calibri" w:hAnsi="Calibri" w:cs="Calibri"/>
                <w:sz w:val="23"/>
                <w:szCs w:val="23"/>
                <w:shd w:val="clear" w:color="auto" w:fill="FFFFFF"/>
              </w:rPr>
              <w:t>organisation</w:t>
            </w:r>
            <w:proofErr w:type="spellEnd"/>
            <w:r w:rsidRPr="0037568C">
              <w:rPr>
                <w:rStyle w:val="normaltextrun"/>
                <w:rFonts w:ascii="Calibri" w:hAnsi="Calibri" w:cs="Calibri"/>
                <w:sz w:val="23"/>
                <w:szCs w:val="23"/>
                <w:shd w:val="clear" w:color="auto" w:fill="FFFFFF"/>
              </w:rPr>
              <w:t xml:space="preserve"> that lives out its values of dignity, participation, diversity, social justice, and professionalism.</w:t>
            </w:r>
            <w:r w:rsidRPr="0037568C">
              <w:rPr>
                <w:rStyle w:val="eop"/>
                <w:rFonts w:ascii="Calibri" w:hAnsi="Calibri" w:cs="Calibri"/>
                <w:sz w:val="23"/>
                <w:szCs w:val="23"/>
              </w:rPr>
              <w:t>  </w:t>
            </w:r>
          </w:p>
          <w:p w14:paraId="3AF7DE24" w14:textId="42BAD54C" w:rsidR="0037568C" w:rsidRPr="0037568C" w:rsidRDefault="0037568C" w:rsidP="00E6707A">
            <w:pPr>
              <w:rPr>
                <w:rFonts w:asciiTheme="minorHAnsi" w:hAnsiTheme="minorHAnsi" w:cstheme="minorHAnsi"/>
                <w:sz w:val="23"/>
                <w:szCs w:val="23"/>
                <w:lang w:val="en-IE"/>
              </w:rPr>
            </w:pPr>
          </w:p>
        </w:tc>
      </w:tr>
      <w:tr w:rsidR="00E6707A" w14:paraId="6EEABF8D" w14:textId="77777777" w:rsidTr="0037568C">
        <w:tc>
          <w:tcPr>
            <w:tcW w:w="4395" w:type="dxa"/>
          </w:tcPr>
          <w:p w14:paraId="1387DD0C" w14:textId="77777777" w:rsidR="00E6707A" w:rsidRDefault="00E6707A" w:rsidP="006241A0"/>
          <w:p w14:paraId="5E37C862" w14:textId="77777777" w:rsidR="00E6707A" w:rsidRPr="00E6707A" w:rsidRDefault="00E6707A" w:rsidP="006241A0">
            <w:pPr>
              <w:jc w:val="center"/>
            </w:pPr>
            <w:r>
              <w:rPr>
                <w:noProof/>
              </w:rPr>
              <w:drawing>
                <wp:inline distT="0" distB="0" distL="0" distR="0" wp14:anchorId="67F33AFD" wp14:editId="792ADA51">
                  <wp:extent cx="2486025" cy="93992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3514" cy="942753"/>
                          </a:xfrm>
                          <a:prstGeom prst="rect">
                            <a:avLst/>
                          </a:prstGeom>
                          <a:noFill/>
                          <a:ln>
                            <a:noFill/>
                          </a:ln>
                        </pic:spPr>
                      </pic:pic>
                    </a:graphicData>
                  </a:graphic>
                </wp:inline>
              </w:drawing>
            </w:r>
          </w:p>
        </w:tc>
        <w:tc>
          <w:tcPr>
            <w:tcW w:w="6071" w:type="dxa"/>
          </w:tcPr>
          <w:p w14:paraId="7A3B740F" w14:textId="522CEDF0" w:rsidR="00E6707A" w:rsidRDefault="00E6707A" w:rsidP="00E6707A">
            <w:pPr>
              <w:rPr>
                <w:rFonts w:asciiTheme="minorHAnsi" w:hAnsiTheme="minorHAnsi" w:cstheme="minorHAnsi"/>
                <w:sz w:val="23"/>
                <w:szCs w:val="23"/>
                <w:lang w:val="en-IE"/>
              </w:rPr>
            </w:pPr>
            <w:r w:rsidRPr="00405CFF">
              <w:rPr>
                <w:rFonts w:asciiTheme="minorHAnsi" w:hAnsiTheme="minorHAnsi" w:cstheme="minorHAnsi"/>
                <w:b/>
                <w:bCs/>
                <w:sz w:val="23"/>
                <w:szCs w:val="23"/>
                <w:lang w:val="en-IE"/>
              </w:rPr>
              <w:t>South Dublin County Council</w:t>
            </w:r>
            <w:r>
              <w:rPr>
                <w:rFonts w:asciiTheme="minorHAnsi" w:hAnsiTheme="minorHAnsi" w:cstheme="minorHAnsi"/>
                <w:sz w:val="23"/>
                <w:szCs w:val="23"/>
                <w:lang w:val="en-IE"/>
              </w:rPr>
              <w:t xml:space="preserve"> </w:t>
            </w:r>
            <w:r w:rsidRPr="00B627FC">
              <w:rPr>
                <w:rFonts w:asciiTheme="minorHAnsi" w:hAnsiTheme="minorHAnsi" w:cstheme="minorHAnsi"/>
                <w:sz w:val="23"/>
                <w:szCs w:val="23"/>
                <w:lang w:val="en-IE"/>
              </w:rPr>
              <w:t>is the authority responsible for local government in the county of South Dublin, Ireland</w:t>
            </w:r>
            <w:r>
              <w:rPr>
                <w:rFonts w:asciiTheme="minorHAnsi" w:hAnsiTheme="minorHAnsi" w:cstheme="minorHAnsi"/>
                <w:sz w:val="23"/>
                <w:szCs w:val="23"/>
                <w:lang w:val="en-IE"/>
              </w:rPr>
              <w:t xml:space="preserve">. </w:t>
            </w:r>
            <w:r w:rsidRPr="00B627FC">
              <w:rPr>
                <w:rFonts w:asciiTheme="minorHAnsi" w:hAnsiTheme="minorHAnsi" w:cstheme="minorHAnsi"/>
                <w:sz w:val="23"/>
                <w:szCs w:val="23"/>
                <w:lang w:val="en-IE"/>
              </w:rPr>
              <w:t>The council is responsible for housing and community, roads and transportation, urban planning and development, amenity and culture, and environment</w:t>
            </w:r>
            <w:r>
              <w:rPr>
                <w:rFonts w:asciiTheme="minorHAnsi" w:hAnsiTheme="minorHAnsi" w:cstheme="minorHAnsi"/>
                <w:sz w:val="23"/>
                <w:szCs w:val="23"/>
                <w:lang w:val="en-IE"/>
              </w:rPr>
              <w:t xml:space="preserve"> and </w:t>
            </w:r>
            <w:r w:rsidRPr="00B627FC">
              <w:rPr>
                <w:rFonts w:asciiTheme="minorHAnsi" w:hAnsiTheme="minorHAnsi" w:cstheme="minorHAnsi"/>
                <w:sz w:val="23"/>
                <w:szCs w:val="23"/>
                <w:lang w:val="en-IE"/>
              </w:rPr>
              <w:t xml:space="preserve">operates </w:t>
            </w:r>
            <w:r w:rsidR="00405CFF">
              <w:rPr>
                <w:rFonts w:asciiTheme="minorHAnsi" w:hAnsiTheme="minorHAnsi" w:cstheme="minorHAnsi"/>
                <w:sz w:val="23"/>
                <w:szCs w:val="23"/>
                <w:lang w:val="en-IE"/>
              </w:rPr>
              <w:t>in the catchment area of Tallaght University Hospital.</w:t>
            </w:r>
          </w:p>
          <w:p w14:paraId="1D0F4C31" w14:textId="1A8EFAE2" w:rsidR="00E6707A" w:rsidRDefault="00E6707A" w:rsidP="006241A0">
            <w:pPr>
              <w:jc w:val="both"/>
              <w:rPr>
                <w:rFonts w:asciiTheme="minorHAnsi" w:hAnsiTheme="minorHAnsi" w:cstheme="minorHAnsi"/>
                <w:sz w:val="23"/>
                <w:szCs w:val="23"/>
                <w:lang w:val="en-IE"/>
              </w:rPr>
            </w:pPr>
          </w:p>
        </w:tc>
      </w:tr>
      <w:tr w:rsidR="00E6707A" w14:paraId="0BB1D827" w14:textId="77777777" w:rsidTr="0037568C">
        <w:trPr>
          <w:trHeight w:val="2590"/>
        </w:trPr>
        <w:tc>
          <w:tcPr>
            <w:tcW w:w="4395" w:type="dxa"/>
          </w:tcPr>
          <w:p w14:paraId="3EC37690" w14:textId="1F227A21" w:rsidR="00E6707A" w:rsidRDefault="00E6707A" w:rsidP="006241A0">
            <w:pPr>
              <w:rPr>
                <w:lang w:val="en-IE"/>
              </w:rPr>
            </w:pPr>
          </w:p>
          <w:p w14:paraId="6BA85358" w14:textId="08329A92" w:rsidR="00E6707A" w:rsidRDefault="00E6707A" w:rsidP="0037568C">
            <w:pPr>
              <w:rPr>
                <w:rFonts w:asciiTheme="minorHAnsi" w:hAnsiTheme="minorHAnsi" w:cstheme="minorHAnsi"/>
                <w:sz w:val="23"/>
                <w:szCs w:val="23"/>
                <w:lang w:val="en-IE"/>
              </w:rPr>
            </w:pPr>
            <w:r>
              <w:rPr>
                <w:noProof/>
              </w:rPr>
              <w:drawing>
                <wp:anchor distT="0" distB="0" distL="114300" distR="114300" simplePos="0" relativeHeight="251658240" behindDoc="0" locked="0" layoutInCell="1" allowOverlap="1" wp14:anchorId="7C065088" wp14:editId="479BBC9F">
                  <wp:simplePos x="0" y="0"/>
                  <wp:positionH relativeFrom="column">
                    <wp:posOffset>255270</wp:posOffset>
                  </wp:positionH>
                  <wp:positionV relativeFrom="paragraph">
                    <wp:posOffset>122555</wp:posOffset>
                  </wp:positionV>
                  <wp:extent cx="2486025" cy="1118712"/>
                  <wp:effectExtent l="0" t="0" r="0" b="5715"/>
                  <wp:wrapSquare wrapText="bothSides"/>
                  <wp:docPr id="18" name="Picture 18" descr="What we do | The Housing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we do | The Housing Agenc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6025" cy="111871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71" w:type="dxa"/>
          </w:tcPr>
          <w:p w14:paraId="2719F499" w14:textId="77777777" w:rsidR="00E6707A" w:rsidRDefault="00E6707A" w:rsidP="00E6707A">
            <w:pPr>
              <w:rPr>
                <w:rFonts w:asciiTheme="minorHAnsi" w:hAnsiTheme="minorHAnsi" w:cstheme="minorHAnsi"/>
                <w:sz w:val="23"/>
                <w:szCs w:val="23"/>
                <w:lang w:val="en-IE"/>
              </w:rPr>
            </w:pPr>
          </w:p>
          <w:p w14:paraId="3392396D" w14:textId="1BB00065" w:rsidR="00E6707A" w:rsidRDefault="00E6707A" w:rsidP="0037568C">
            <w:pPr>
              <w:rPr>
                <w:rFonts w:asciiTheme="minorHAnsi" w:hAnsiTheme="minorHAnsi" w:cstheme="minorHAnsi"/>
                <w:sz w:val="23"/>
                <w:szCs w:val="23"/>
                <w:lang w:val="en-IE"/>
              </w:rPr>
            </w:pPr>
            <w:r w:rsidRPr="00405CFF">
              <w:rPr>
                <w:rFonts w:asciiTheme="minorHAnsi" w:hAnsiTheme="minorHAnsi" w:cstheme="minorHAnsi"/>
                <w:b/>
                <w:bCs/>
                <w:sz w:val="23"/>
                <w:szCs w:val="23"/>
                <w:lang w:val="en-IE"/>
              </w:rPr>
              <w:t>The Housing Agency</w:t>
            </w:r>
            <w:r w:rsidRPr="00E6707A">
              <w:rPr>
                <w:rFonts w:asciiTheme="minorHAnsi" w:hAnsiTheme="minorHAnsi" w:cstheme="minorHAnsi"/>
                <w:sz w:val="23"/>
                <w:szCs w:val="23"/>
                <w:lang w:val="en-IE"/>
              </w:rPr>
              <w:t xml:space="preserve"> is a government agency focused on supporting local authorities, the Department of Housing, Local Government </w:t>
            </w:r>
            <w:r w:rsidR="00405CFF">
              <w:rPr>
                <w:rFonts w:asciiTheme="minorHAnsi" w:hAnsiTheme="minorHAnsi" w:cstheme="minorHAnsi"/>
                <w:sz w:val="23"/>
                <w:szCs w:val="23"/>
                <w:lang w:val="en-IE"/>
              </w:rPr>
              <w:t>and Heritage</w:t>
            </w:r>
            <w:r w:rsidRPr="00E6707A">
              <w:rPr>
                <w:rFonts w:asciiTheme="minorHAnsi" w:hAnsiTheme="minorHAnsi" w:cstheme="minorHAnsi"/>
                <w:sz w:val="23"/>
                <w:szCs w:val="23"/>
                <w:lang w:val="en-IE"/>
              </w:rPr>
              <w:t xml:space="preserve"> and Approved Housing Bodies (AHBs). We actively support the delivery and management of social and affordable housing by local authorities and AHBs and we work closely with the D</w:t>
            </w:r>
            <w:r w:rsidR="00405CFF">
              <w:rPr>
                <w:rFonts w:asciiTheme="minorHAnsi" w:hAnsiTheme="minorHAnsi" w:cstheme="minorHAnsi"/>
                <w:sz w:val="23"/>
                <w:szCs w:val="23"/>
                <w:lang w:val="en-IE"/>
              </w:rPr>
              <w:t>epartment</w:t>
            </w:r>
            <w:r w:rsidRPr="00E6707A">
              <w:rPr>
                <w:rFonts w:asciiTheme="minorHAnsi" w:hAnsiTheme="minorHAnsi" w:cstheme="minorHAnsi"/>
                <w:sz w:val="23"/>
                <w:szCs w:val="23"/>
                <w:lang w:val="en-IE"/>
              </w:rPr>
              <w:t xml:space="preserve"> in the development and implementation of housing policy.</w:t>
            </w:r>
          </w:p>
        </w:tc>
      </w:tr>
      <w:tr w:rsidR="00E6707A" w14:paraId="768AD088" w14:textId="77777777" w:rsidTr="0037568C">
        <w:tc>
          <w:tcPr>
            <w:tcW w:w="4395" w:type="dxa"/>
          </w:tcPr>
          <w:p w14:paraId="40BE0392" w14:textId="77777777" w:rsidR="00E6707A" w:rsidRDefault="00E6707A" w:rsidP="006241A0">
            <w:pPr>
              <w:jc w:val="both"/>
              <w:rPr>
                <w:rFonts w:asciiTheme="minorHAnsi" w:hAnsiTheme="minorHAnsi" w:cstheme="minorHAnsi"/>
                <w:sz w:val="23"/>
                <w:szCs w:val="23"/>
                <w:lang w:val="en-IE"/>
              </w:rPr>
            </w:pPr>
            <w:r>
              <w:rPr>
                <w:noProof/>
              </w:rPr>
              <w:drawing>
                <wp:inline distT="0" distB="0" distL="0" distR="0" wp14:anchorId="217364AB" wp14:editId="62E9ABB7">
                  <wp:extent cx="2124075" cy="1461201"/>
                  <wp:effectExtent l="0" t="0" r="0" b="5715"/>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5184" cy="1468843"/>
                          </a:xfrm>
                          <a:prstGeom prst="rect">
                            <a:avLst/>
                          </a:prstGeom>
                        </pic:spPr>
                      </pic:pic>
                    </a:graphicData>
                  </a:graphic>
                </wp:inline>
              </w:drawing>
            </w:r>
          </w:p>
        </w:tc>
        <w:tc>
          <w:tcPr>
            <w:tcW w:w="6071" w:type="dxa"/>
          </w:tcPr>
          <w:p w14:paraId="4B6EFA6D" w14:textId="77777777" w:rsidR="00E6707A" w:rsidRDefault="00E6707A" w:rsidP="00E6707A">
            <w:pPr>
              <w:rPr>
                <w:rFonts w:asciiTheme="minorHAnsi" w:hAnsiTheme="minorHAnsi" w:cstheme="minorHAnsi"/>
                <w:sz w:val="23"/>
                <w:szCs w:val="23"/>
                <w:lang w:val="en-IE"/>
              </w:rPr>
            </w:pPr>
          </w:p>
          <w:p w14:paraId="549BC2BE" w14:textId="78D746D8" w:rsidR="00E6707A" w:rsidRDefault="00405CFF" w:rsidP="00E6707A">
            <w:pPr>
              <w:rPr>
                <w:rFonts w:asciiTheme="minorHAnsi" w:hAnsiTheme="minorHAnsi" w:cstheme="minorHAnsi"/>
                <w:sz w:val="23"/>
                <w:szCs w:val="23"/>
                <w:lang w:val="en-IE"/>
              </w:rPr>
            </w:pPr>
            <w:r w:rsidRPr="00405CFF">
              <w:rPr>
                <w:rFonts w:asciiTheme="minorHAnsi" w:hAnsiTheme="minorHAnsi" w:cstheme="minorHAnsi"/>
                <w:b/>
                <w:bCs/>
                <w:sz w:val="23"/>
                <w:szCs w:val="23"/>
                <w:lang w:val="en-IE"/>
              </w:rPr>
              <w:t>Age Friendly Ireland</w:t>
            </w:r>
            <w:r>
              <w:rPr>
                <w:rFonts w:asciiTheme="minorHAnsi" w:hAnsiTheme="minorHAnsi" w:cstheme="minorHAnsi"/>
                <w:sz w:val="23"/>
                <w:szCs w:val="23"/>
                <w:lang w:val="en-IE"/>
              </w:rPr>
              <w:t xml:space="preserve"> operates as a shared service of local government, hosted by Meath County Council. </w:t>
            </w:r>
            <w:r w:rsidR="00E6707A" w:rsidRPr="00B627FC">
              <w:rPr>
                <w:rFonts w:asciiTheme="minorHAnsi" w:hAnsiTheme="minorHAnsi" w:cstheme="minorHAnsi"/>
                <w:sz w:val="23"/>
                <w:szCs w:val="23"/>
                <w:lang w:val="en-IE"/>
              </w:rPr>
              <w:t xml:space="preserve">The national </w:t>
            </w:r>
            <w:r w:rsidR="00E6707A" w:rsidRPr="00405CFF">
              <w:rPr>
                <w:rFonts w:asciiTheme="minorHAnsi" w:hAnsiTheme="minorHAnsi" w:cstheme="minorHAnsi"/>
                <w:sz w:val="23"/>
                <w:szCs w:val="23"/>
                <w:lang w:val="en-IE"/>
              </w:rPr>
              <w:t>Age Friendly</w:t>
            </w:r>
            <w:r w:rsidR="00E6707A" w:rsidRPr="00405CFF">
              <w:rPr>
                <w:rFonts w:asciiTheme="minorHAnsi" w:hAnsiTheme="minorHAnsi" w:cstheme="minorHAnsi"/>
                <w:b/>
                <w:bCs/>
                <w:sz w:val="23"/>
                <w:szCs w:val="23"/>
                <w:lang w:val="en-IE"/>
              </w:rPr>
              <w:t xml:space="preserve"> </w:t>
            </w:r>
            <w:r w:rsidR="00E6707A" w:rsidRPr="00B627FC">
              <w:rPr>
                <w:rFonts w:asciiTheme="minorHAnsi" w:hAnsiTheme="minorHAnsi" w:cstheme="minorHAnsi"/>
                <w:sz w:val="23"/>
                <w:szCs w:val="23"/>
                <w:lang w:val="en-IE"/>
              </w:rPr>
              <w:t>Programme supports cities, counties and towns across Ireland to prepare for the rapid ageing of our population by paying increased attention to the environmental, economic and social factors that influence the health and well-being of older adults</w:t>
            </w:r>
            <w:r>
              <w:rPr>
                <w:rFonts w:asciiTheme="minorHAnsi" w:hAnsiTheme="minorHAnsi" w:cstheme="minorHAnsi"/>
                <w:sz w:val="23"/>
                <w:szCs w:val="23"/>
                <w:lang w:val="en-IE"/>
              </w:rPr>
              <w:t xml:space="preserve">. </w:t>
            </w:r>
          </w:p>
        </w:tc>
      </w:tr>
      <w:tr w:rsidR="00E6707A" w14:paraId="3C2E1FDD" w14:textId="77777777" w:rsidTr="0037568C">
        <w:tc>
          <w:tcPr>
            <w:tcW w:w="4395" w:type="dxa"/>
          </w:tcPr>
          <w:p w14:paraId="35421D19" w14:textId="7B8A0DF2" w:rsidR="00E6707A" w:rsidRDefault="00E6707A" w:rsidP="006241A0">
            <w:pPr>
              <w:jc w:val="both"/>
              <w:rPr>
                <w:rFonts w:asciiTheme="minorHAnsi" w:hAnsiTheme="minorHAnsi" w:cstheme="minorHAnsi"/>
                <w:sz w:val="23"/>
                <w:szCs w:val="23"/>
                <w:lang w:val="en-IE"/>
              </w:rPr>
            </w:pPr>
          </w:p>
          <w:p w14:paraId="7A4601C2" w14:textId="518E38D1" w:rsidR="00E6707A" w:rsidRDefault="00E6707A" w:rsidP="006241A0">
            <w:pPr>
              <w:jc w:val="both"/>
              <w:rPr>
                <w:rFonts w:asciiTheme="minorHAnsi" w:hAnsiTheme="minorHAnsi" w:cstheme="minorHAnsi"/>
                <w:sz w:val="23"/>
                <w:szCs w:val="23"/>
                <w:lang w:val="en-IE"/>
              </w:rPr>
            </w:pPr>
            <w:r>
              <w:rPr>
                <w:rFonts w:ascii="&amp;quot" w:hAnsi="&amp;quot"/>
                <w:noProof/>
                <w:color w:val="0179D8"/>
                <w:bdr w:val="none" w:sz="0" w:space="0" w:color="auto" w:frame="1"/>
              </w:rPr>
              <w:drawing>
                <wp:anchor distT="0" distB="0" distL="114300" distR="114300" simplePos="0" relativeHeight="251661312" behindDoc="0" locked="0" layoutInCell="1" allowOverlap="1" wp14:anchorId="396D8324" wp14:editId="5C097457">
                  <wp:simplePos x="0" y="0"/>
                  <wp:positionH relativeFrom="column">
                    <wp:posOffset>360045</wp:posOffset>
                  </wp:positionH>
                  <wp:positionV relativeFrom="paragraph">
                    <wp:posOffset>175260</wp:posOffset>
                  </wp:positionV>
                  <wp:extent cx="2009775" cy="657225"/>
                  <wp:effectExtent l="0" t="0" r="9525" b="0"/>
                  <wp:wrapSquare wrapText="bothSides"/>
                  <wp:docPr id="20" name="Picture 2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7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63084C" w14:textId="5C30A747" w:rsidR="00E6707A" w:rsidRDefault="00E6707A" w:rsidP="006241A0">
            <w:pPr>
              <w:jc w:val="both"/>
              <w:rPr>
                <w:rFonts w:asciiTheme="minorHAnsi" w:hAnsiTheme="minorHAnsi" w:cstheme="minorHAnsi"/>
                <w:sz w:val="23"/>
                <w:szCs w:val="23"/>
                <w:lang w:val="en-IE"/>
              </w:rPr>
            </w:pPr>
          </w:p>
          <w:p w14:paraId="264218A3" w14:textId="77777777" w:rsidR="00E6707A" w:rsidRDefault="00E6707A" w:rsidP="006241A0">
            <w:pPr>
              <w:jc w:val="both"/>
              <w:rPr>
                <w:rFonts w:asciiTheme="minorHAnsi" w:hAnsiTheme="minorHAnsi" w:cstheme="minorHAnsi"/>
                <w:sz w:val="23"/>
                <w:szCs w:val="23"/>
                <w:lang w:val="en-IE"/>
              </w:rPr>
            </w:pPr>
          </w:p>
        </w:tc>
        <w:tc>
          <w:tcPr>
            <w:tcW w:w="6071" w:type="dxa"/>
          </w:tcPr>
          <w:p w14:paraId="7B270F7C" w14:textId="77777777" w:rsidR="00E6707A" w:rsidRDefault="00E6707A" w:rsidP="006241A0">
            <w:pPr>
              <w:jc w:val="both"/>
              <w:rPr>
                <w:rFonts w:asciiTheme="minorHAnsi" w:hAnsiTheme="minorHAnsi" w:cstheme="minorHAnsi"/>
                <w:sz w:val="23"/>
                <w:szCs w:val="23"/>
                <w:lang w:val="en-IE"/>
              </w:rPr>
            </w:pPr>
          </w:p>
          <w:p w14:paraId="50B7F490" w14:textId="75C5C9D2" w:rsidR="00E6707A" w:rsidRDefault="00E6707A" w:rsidP="00E6707A">
            <w:pPr>
              <w:rPr>
                <w:rFonts w:asciiTheme="minorHAnsi" w:hAnsiTheme="minorHAnsi" w:cstheme="minorHAnsi"/>
                <w:sz w:val="23"/>
                <w:szCs w:val="23"/>
                <w:lang w:val="en-IE"/>
              </w:rPr>
            </w:pPr>
            <w:r w:rsidRPr="00405CFF">
              <w:rPr>
                <w:rFonts w:asciiTheme="minorHAnsi" w:hAnsiTheme="minorHAnsi" w:cstheme="minorHAnsi"/>
                <w:b/>
                <w:bCs/>
                <w:sz w:val="23"/>
                <w:szCs w:val="23"/>
                <w:lang w:val="en-IE"/>
              </w:rPr>
              <w:t>Building Research Establishment</w:t>
            </w:r>
            <w:r w:rsidRPr="006D1289">
              <w:rPr>
                <w:rFonts w:asciiTheme="minorHAnsi" w:hAnsiTheme="minorHAnsi" w:cstheme="minorHAnsi"/>
                <w:sz w:val="23"/>
                <w:szCs w:val="23"/>
                <w:lang w:val="en-IE"/>
              </w:rPr>
              <w:t xml:space="preserve"> delivers innovative and rigorous products, services, standards and qualifications which are used around the globe to make buildings better for people and for the environment</w:t>
            </w:r>
            <w:r w:rsidR="00405CFF">
              <w:rPr>
                <w:rFonts w:asciiTheme="minorHAnsi" w:hAnsiTheme="minorHAnsi" w:cstheme="minorHAnsi"/>
                <w:sz w:val="23"/>
                <w:szCs w:val="23"/>
                <w:lang w:val="en-IE"/>
              </w:rPr>
              <w:t>.</w:t>
            </w:r>
          </w:p>
        </w:tc>
      </w:tr>
    </w:tbl>
    <w:p w14:paraId="04509325" w14:textId="77777777" w:rsidR="00E6707A" w:rsidRDefault="00E6707A" w:rsidP="006D3EDD">
      <w:pPr>
        <w:rPr>
          <w:rFonts w:asciiTheme="minorHAnsi" w:hAnsiTheme="minorHAnsi" w:cstheme="minorHAnsi"/>
          <w:b/>
          <w:bCs/>
          <w:sz w:val="23"/>
          <w:szCs w:val="23"/>
        </w:rPr>
      </w:pPr>
    </w:p>
    <w:p w14:paraId="34198B2C" w14:textId="77777777" w:rsidR="00E6707A" w:rsidRDefault="00E6707A" w:rsidP="006D3EDD">
      <w:pPr>
        <w:rPr>
          <w:rFonts w:asciiTheme="minorHAnsi" w:hAnsiTheme="minorHAnsi" w:cstheme="minorHAnsi"/>
          <w:b/>
          <w:bCs/>
          <w:sz w:val="23"/>
          <w:szCs w:val="23"/>
        </w:rPr>
      </w:pPr>
    </w:p>
    <w:p w14:paraId="0A6D31CF" w14:textId="2489F4EB" w:rsidR="00E6707A" w:rsidRDefault="00E6707A" w:rsidP="006D3EDD">
      <w:pPr>
        <w:rPr>
          <w:rFonts w:asciiTheme="minorHAnsi" w:hAnsiTheme="minorHAnsi" w:cstheme="minorHAnsi"/>
          <w:b/>
          <w:bCs/>
          <w:sz w:val="23"/>
          <w:szCs w:val="23"/>
        </w:rPr>
      </w:pPr>
    </w:p>
    <w:p w14:paraId="5B85B25D" w14:textId="77777777" w:rsidR="00E6707A" w:rsidRDefault="00E6707A" w:rsidP="006D3EDD">
      <w:pPr>
        <w:rPr>
          <w:rFonts w:asciiTheme="minorHAnsi" w:hAnsiTheme="minorHAnsi" w:cstheme="minorHAnsi"/>
          <w:b/>
          <w:bCs/>
          <w:sz w:val="23"/>
          <w:szCs w:val="23"/>
        </w:rPr>
      </w:pPr>
    </w:p>
    <w:p w14:paraId="62CF7716" w14:textId="21E4E1DD" w:rsidR="006D3EDD" w:rsidRPr="006D3EDD" w:rsidRDefault="006D3EDD" w:rsidP="006D3EDD">
      <w:pPr>
        <w:rPr>
          <w:rFonts w:asciiTheme="minorHAnsi" w:hAnsiTheme="minorHAnsi" w:cstheme="minorHAnsi"/>
          <w:sz w:val="23"/>
          <w:szCs w:val="23"/>
        </w:rPr>
      </w:pPr>
      <w:r w:rsidRPr="006D3EDD">
        <w:rPr>
          <w:rFonts w:asciiTheme="minorHAnsi" w:hAnsiTheme="minorHAnsi" w:cstheme="minorHAnsi"/>
          <w:b/>
          <w:bCs/>
          <w:sz w:val="23"/>
          <w:szCs w:val="23"/>
        </w:rPr>
        <w:t>Research aims</w:t>
      </w:r>
      <w:r w:rsidRPr="006D3EDD">
        <w:rPr>
          <w:rFonts w:asciiTheme="minorHAnsi" w:hAnsiTheme="minorHAnsi" w:cstheme="minorHAnsi"/>
          <w:sz w:val="23"/>
          <w:szCs w:val="23"/>
        </w:rPr>
        <w:t>: The research aims to investigate the link between common housing conditions and hazards that affect older people’s health in the South Dublin area, and their impact on TUH healthcare delivery.</w:t>
      </w:r>
    </w:p>
    <w:p w14:paraId="4C1870DE" w14:textId="77777777" w:rsidR="006D3EDD" w:rsidRPr="006D3EDD" w:rsidRDefault="006D3EDD" w:rsidP="006D3EDD">
      <w:pPr>
        <w:rPr>
          <w:rFonts w:asciiTheme="minorHAnsi" w:hAnsiTheme="minorHAnsi" w:cstheme="minorHAnsi"/>
          <w:sz w:val="23"/>
          <w:szCs w:val="23"/>
        </w:rPr>
      </w:pPr>
    </w:p>
    <w:p w14:paraId="60AEC160" w14:textId="77777777" w:rsidR="006D3EDD" w:rsidRPr="006D3EDD" w:rsidRDefault="006D3EDD" w:rsidP="006D3EDD">
      <w:pPr>
        <w:rPr>
          <w:rFonts w:asciiTheme="minorHAnsi" w:eastAsia="Calibri" w:hAnsiTheme="minorHAnsi" w:cstheme="minorHAnsi"/>
          <w:sz w:val="23"/>
          <w:szCs w:val="23"/>
        </w:rPr>
      </w:pPr>
      <w:r w:rsidRPr="006D3EDD">
        <w:rPr>
          <w:rFonts w:asciiTheme="minorHAnsi" w:hAnsiTheme="minorHAnsi" w:cstheme="minorHAnsi"/>
          <w:b/>
          <w:bCs/>
          <w:sz w:val="23"/>
          <w:szCs w:val="23"/>
        </w:rPr>
        <w:t>Process:</w:t>
      </w:r>
      <w:r w:rsidRPr="006D3EDD">
        <w:rPr>
          <w:rFonts w:asciiTheme="minorHAnsi" w:hAnsiTheme="minorHAnsi" w:cstheme="minorHAnsi"/>
          <w:sz w:val="23"/>
          <w:szCs w:val="23"/>
        </w:rPr>
        <w:t xml:space="preserve"> This will involve stakeholder engagement, </w:t>
      </w:r>
      <w:proofErr w:type="gramStart"/>
      <w:r w:rsidRPr="006D3EDD">
        <w:rPr>
          <w:rFonts w:asciiTheme="minorHAnsi" w:hAnsiTheme="minorHAnsi" w:cstheme="minorHAnsi"/>
          <w:sz w:val="23"/>
          <w:szCs w:val="23"/>
        </w:rPr>
        <w:t>research</w:t>
      </w:r>
      <w:proofErr w:type="gramEnd"/>
      <w:r w:rsidRPr="006D3EDD">
        <w:rPr>
          <w:rFonts w:asciiTheme="minorHAnsi" w:hAnsiTheme="minorHAnsi" w:cstheme="minorHAnsi"/>
          <w:sz w:val="23"/>
          <w:szCs w:val="23"/>
        </w:rPr>
        <w:t xml:space="preserve"> and housing case studies in the Tallaght area to investigate the links between housing conditions and the health of older people, and the impact on TUH healthcare delivery. The overall findings will be used to support the TUH integrated care team by highlighting key housing related issues to improve the health of older people in their homes. This project will also be used to initiate a larger conversation and promote further research into housing conditions and TUH’s Integrated Care for Older Person’s. </w:t>
      </w:r>
      <w:r w:rsidRPr="006D3EDD">
        <w:rPr>
          <w:rFonts w:asciiTheme="minorHAnsi" w:eastAsia="Calibri" w:hAnsiTheme="minorHAnsi" w:cstheme="minorHAnsi"/>
          <w:sz w:val="23"/>
          <w:szCs w:val="23"/>
        </w:rPr>
        <w:t>As set out in the ICPOP, engaging with key stakeholders, particularly older people in the community, is essential. This project will engage with key stakeholders to understand key health related housing conditions and work with these stakeholders to achieve the research objectives. This engagement will primarily involve interviews and focus groups.</w:t>
      </w:r>
    </w:p>
    <w:p w14:paraId="2B3D59B7" w14:textId="77777777" w:rsidR="006D3EDD" w:rsidRPr="006D3EDD" w:rsidRDefault="006D3EDD" w:rsidP="006D3EDD">
      <w:pPr>
        <w:rPr>
          <w:rFonts w:asciiTheme="minorHAnsi" w:hAnsiTheme="minorHAnsi" w:cstheme="minorHAnsi"/>
          <w:sz w:val="23"/>
          <w:szCs w:val="23"/>
        </w:rPr>
      </w:pPr>
    </w:p>
    <w:p w14:paraId="6BA79326" w14:textId="77777777" w:rsidR="006D3EDD" w:rsidRPr="006D3EDD" w:rsidRDefault="006D3EDD" w:rsidP="006D3EDD">
      <w:pPr>
        <w:spacing w:after="120"/>
        <w:rPr>
          <w:rFonts w:asciiTheme="minorHAnsi" w:hAnsiTheme="minorHAnsi" w:cstheme="minorHAnsi"/>
          <w:b/>
          <w:bCs/>
          <w:sz w:val="23"/>
          <w:szCs w:val="23"/>
        </w:rPr>
      </w:pPr>
      <w:r w:rsidRPr="006D3EDD">
        <w:rPr>
          <w:rFonts w:asciiTheme="minorHAnsi" w:hAnsiTheme="minorHAnsi" w:cstheme="minorHAnsi"/>
          <w:b/>
          <w:bCs/>
          <w:sz w:val="23"/>
          <w:szCs w:val="23"/>
        </w:rPr>
        <w:t xml:space="preserve">Objectives: </w:t>
      </w:r>
      <w:r w:rsidRPr="006D3EDD">
        <w:rPr>
          <w:rFonts w:asciiTheme="minorHAnsi" w:hAnsiTheme="minorHAnsi" w:cstheme="minorHAnsi"/>
          <w:sz w:val="23"/>
          <w:szCs w:val="23"/>
        </w:rPr>
        <w:t>these outcomes will be achieved through the following objectives:</w:t>
      </w:r>
    </w:p>
    <w:p w14:paraId="16C5188F" w14:textId="77777777" w:rsidR="006D3EDD" w:rsidRPr="006D3EDD" w:rsidRDefault="006D3EDD" w:rsidP="006D3EDD">
      <w:pPr>
        <w:pStyle w:val="ListParagraph"/>
        <w:numPr>
          <w:ilvl w:val="0"/>
          <w:numId w:val="1"/>
        </w:numPr>
        <w:spacing w:after="120" w:line="240" w:lineRule="auto"/>
        <w:ind w:left="714" w:hanging="357"/>
        <w:contextualSpacing w:val="0"/>
        <w:rPr>
          <w:rFonts w:asciiTheme="minorHAnsi" w:hAnsiTheme="minorHAnsi" w:cstheme="minorHAnsi"/>
          <w:sz w:val="23"/>
          <w:szCs w:val="23"/>
        </w:rPr>
      </w:pPr>
      <w:r w:rsidRPr="006D3EDD">
        <w:rPr>
          <w:rFonts w:asciiTheme="minorHAnsi" w:hAnsiTheme="minorHAnsi" w:cstheme="minorHAnsi"/>
          <w:sz w:val="23"/>
          <w:szCs w:val="23"/>
        </w:rPr>
        <w:t xml:space="preserve">Identify common conditions and hazards in local housing that affect older people and impact on their health. </w:t>
      </w:r>
    </w:p>
    <w:p w14:paraId="224BF440" w14:textId="77777777" w:rsidR="006D3EDD" w:rsidRPr="006D3EDD" w:rsidRDefault="006D3EDD" w:rsidP="006D3EDD">
      <w:pPr>
        <w:pStyle w:val="ListParagraph"/>
        <w:numPr>
          <w:ilvl w:val="0"/>
          <w:numId w:val="1"/>
        </w:numPr>
        <w:spacing w:after="120" w:line="240" w:lineRule="auto"/>
        <w:ind w:left="714" w:hanging="357"/>
        <w:contextualSpacing w:val="0"/>
        <w:rPr>
          <w:rFonts w:asciiTheme="minorHAnsi" w:hAnsiTheme="minorHAnsi" w:cstheme="minorHAnsi"/>
          <w:sz w:val="23"/>
          <w:szCs w:val="23"/>
        </w:rPr>
      </w:pPr>
      <w:r w:rsidRPr="006D3EDD">
        <w:rPr>
          <w:rFonts w:asciiTheme="minorHAnsi" w:hAnsiTheme="minorHAnsi" w:cstheme="minorHAnsi"/>
          <w:sz w:val="23"/>
          <w:szCs w:val="23"/>
        </w:rPr>
        <w:t xml:space="preserve">Outline the impact of these housing conditions on TUH healthcare delivery and in particular the work of the integrated care team. This may include poor general health outcomes in hospital catchment area, hospitalisation due to poor housing or hazards, or patient discharge issues due to housing that is unsuitable for recovery or rehabilitation.     </w:t>
      </w:r>
    </w:p>
    <w:p w14:paraId="56E60DF8" w14:textId="77777777" w:rsidR="006D3EDD" w:rsidRPr="006D3EDD" w:rsidRDefault="006D3EDD" w:rsidP="006D3EDD">
      <w:pPr>
        <w:pStyle w:val="ListParagraph"/>
        <w:numPr>
          <w:ilvl w:val="0"/>
          <w:numId w:val="1"/>
        </w:numPr>
        <w:spacing w:after="120" w:line="240" w:lineRule="auto"/>
        <w:ind w:left="714" w:hanging="357"/>
        <w:contextualSpacing w:val="0"/>
        <w:rPr>
          <w:rFonts w:asciiTheme="minorHAnsi" w:hAnsiTheme="minorHAnsi" w:cstheme="minorHAnsi"/>
          <w:sz w:val="23"/>
          <w:szCs w:val="23"/>
        </w:rPr>
      </w:pPr>
      <w:r w:rsidRPr="006D3EDD">
        <w:rPr>
          <w:rFonts w:asciiTheme="minorHAnsi" w:hAnsiTheme="minorHAnsi" w:cstheme="minorHAnsi"/>
          <w:sz w:val="23"/>
          <w:szCs w:val="23"/>
        </w:rPr>
        <w:t xml:space="preserve">Work with the TUH integrated care team, SDCC, and AFI to deter how these findings can be used to enhance care pathways and inform decision making around housing adaptations.  </w:t>
      </w:r>
    </w:p>
    <w:p w14:paraId="52B2D150" w14:textId="77777777" w:rsidR="006D3EDD" w:rsidRPr="006D3EDD" w:rsidRDefault="006D3EDD" w:rsidP="006D3EDD">
      <w:pPr>
        <w:pStyle w:val="ListParagraph"/>
        <w:numPr>
          <w:ilvl w:val="0"/>
          <w:numId w:val="1"/>
        </w:numPr>
        <w:spacing w:after="120" w:line="240" w:lineRule="auto"/>
        <w:ind w:left="714" w:hanging="357"/>
        <w:contextualSpacing w:val="0"/>
        <w:rPr>
          <w:rFonts w:asciiTheme="minorHAnsi" w:hAnsiTheme="minorHAnsi" w:cstheme="minorHAnsi"/>
          <w:sz w:val="23"/>
          <w:szCs w:val="23"/>
        </w:rPr>
      </w:pPr>
      <w:r w:rsidRPr="006D3EDD">
        <w:rPr>
          <w:rFonts w:asciiTheme="minorHAnsi" w:hAnsiTheme="minorHAnsi" w:cstheme="minorHAnsi"/>
          <w:sz w:val="23"/>
          <w:szCs w:val="23"/>
        </w:rPr>
        <w:t xml:space="preserve">Work with TUH, SDCC to identify specific housing improvements/adaptations that a) help maintain/improve general health, b) targeted housing related measures that support specific aspects of integrated care, and c) provide supportive conditions on discharge from hospital      </w:t>
      </w:r>
    </w:p>
    <w:p w14:paraId="3114CB52" w14:textId="77777777" w:rsidR="006D3EDD" w:rsidRPr="006D3EDD" w:rsidRDefault="006D3EDD" w:rsidP="006D3EDD">
      <w:pPr>
        <w:pStyle w:val="ListParagraph"/>
        <w:numPr>
          <w:ilvl w:val="0"/>
          <w:numId w:val="1"/>
        </w:numPr>
        <w:spacing w:after="120" w:line="240" w:lineRule="auto"/>
        <w:ind w:left="714" w:hanging="357"/>
        <w:contextualSpacing w:val="0"/>
        <w:rPr>
          <w:rFonts w:asciiTheme="minorHAnsi" w:hAnsiTheme="minorHAnsi" w:cstheme="minorHAnsi"/>
          <w:sz w:val="23"/>
          <w:szCs w:val="23"/>
        </w:rPr>
      </w:pPr>
      <w:r w:rsidRPr="006D3EDD">
        <w:rPr>
          <w:rFonts w:asciiTheme="minorHAnsi" w:hAnsiTheme="minorHAnsi" w:cstheme="minorHAnsi"/>
          <w:sz w:val="23"/>
          <w:szCs w:val="23"/>
        </w:rPr>
        <w:t>Initiate a wider conversation about the relationship between housing conditions and the health of older people, the role of housing in the integrated care of older people, and the relationship between TUH and local housing in terms of preventative medicine and healthcare delivery.</w:t>
      </w:r>
    </w:p>
    <w:p w14:paraId="05C8D9CA" w14:textId="77777777" w:rsidR="006D3EDD" w:rsidRPr="006D3EDD" w:rsidRDefault="006D3EDD" w:rsidP="006D3EDD">
      <w:pPr>
        <w:pStyle w:val="ListParagraph"/>
        <w:numPr>
          <w:ilvl w:val="0"/>
          <w:numId w:val="1"/>
        </w:numPr>
        <w:spacing w:after="120" w:line="240" w:lineRule="auto"/>
        <w:ind w:left="709"/>
        <w:rPr>
          <w:rFonts w:asciiTheme="minorHAnsi" w:hAnsiTheme="minorHAnsi" w:cstheme="minorHAnsi"/>
          <w:sz w:val="23"/>
          <w:szCs w:val="23"/>
        </w:rPr>
      </w:pPr>
      <w:r w:rsidRPr="006D3EDD">
        <w:rPr>
          <w:rFonts w:asciiTheme="minorHAnsi" w:hAnsiTheme="minorHAnsi" w:cstheme="minorHAnsi"/>
          <w:sz w:val="23"/>
          <w:szCs w:val="23"/>
        </w:rPr>
        <w:t xml:space="preserve">Use this project to investigate and identify opportunities for further investigation of housing conditions for older people and the interaction with TUH integrated care in the wider SDCC area. This will include the identification of appropriate technical assessment methodologies and processes to be used in any further project.  </w:t>
      </w:r>
    </w:p>
    <w:p w14:paraId="16898B30" w14:textId="77777777" w:rsidR="006D3EDD" w:rsidRPr="006D3EDD" w:rsidRDefault="006D3EDD" w:rsidP="006D3EDD">
      <w:pPr>
        <w:rPr>
          <w:rFonts w:asciiTheme="minorHAnsi" w:hAnsiTheme="minorHAnsi" w:cstheme="minorHAnsi"/>
          <w:sz w:val="23"/>
          <w:szCs w:val="23"/>
        </w:rPr>
      </w:pPr>
    </w:p>
    <w:p w14:paraId="35AD78D2" w14:textId="186090DC" w:rsidR="006D3EDD" w:rsidRPr="0037568C" w:rsidRDefault="006D3EDD" w:rsidP="006D3EDD">
      <w:pPr>
        <w:rPr>
          <w:rFonts w:asciiTheme="minorHAnsi" w:hAnsiTheme="minorHAnsi" w:cstheme="minorHAnsi"/>
          <w:b/>
          <w:bCs/>
          <w:sz w:val="23"/>
          <w:szCs w:val="23"/>
        </w:rPr>
      </w:pPr>
      <w:r w:rsidRPr="0037568C">
        <w:rPr>
          <w:rFonts w:asciiTheme="minorHAnsi" w:hAnsiTheme="minorHAnsi" w:cstheme="minorHAnsi"/>
          <w:b/>
          <w:bCs/>
          <w:sz w:val="23"/>
          <w:szCs w:val="23"/>
        </w:rPr>
        <w:t xml:space="preserve">Contact details: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37568C" w14:paraId="68B067E4" w14:textId="77777777" w:rsidTr="0037568C">
        <w:tc>
          <w:tcPr>
            <w:tcW w:w="5228" w:type="dxa"/>
          </w:tcPr>
          <w:p w14:paraId="02417125" w14:textId="77777777" w:rsidR="0037568C" w:rsidRPr="0037568C" w:rsidRDefault="0037568C" w:rsidP="0037568C">
            <w:pPr>
              <w:rPr>
                <w:rFonts w:asciiTheme="minorHAnsi" w:hAnsiTheme="minorHAnsi" w:cstheme="minorHAnsi"/>
                <w:sz w:val="23"/>
                <w:szCs w:val="23"/>
                <w:lang w:eastAsia="en-IE"/>
              </w:rPr>
            </w:pPr>
            <w:r w:rsidRPr="0037568C">
              <w:rPr>
                <w:rFonts w:asciiTheme="minorHAnsi" w:hAnsiTheme="minorHAnsi" w:cstheme="minorHAnsi"/>
                <w:sz w:val="23"/>
                <w:szCs w:val="23"/>
                <w:lang w:eastAsia="en-IE"/>
              </w:rPr>
              <w:t>Thomas Grey</w:t>
            </w:r>
          </w:p>
          <w:p w14:paraId="239E37C3" w14:textId="77777777" w:rsidR="0037568C" w:rsidRPr="0037568C" w:rsidRDefault="0037568C" w:rsidP="0037568C">
            <w:pPr>
              <w:rPr>
                <w:rFonts w:asciiTheme="minorHAnsi" w:hAnsiTheme="minorHAnsi" w:cstheme="minorHAnsi"/>
                <w:sz w:val="23"/>
                <w:szCs w:val="23"/>
                <w:lang w:eastAsia="en-IE"/>
              </w:rPr>
            </w:pPr>
            <w:r w:rsidRPr="0037568C">
              <w:rPr>
                <w:rFonts w:asciiTheme="minorHAnsi" w:hAnsiTheme="minorHAnsi" w:cstheme="minorHAnsi"/>
                <w:sz w:val="23"/>
                <w:szCs w:val="23"/>
                <w:lang w:eastAsia="en-IE"/>
              </w:rPr>
              <w:t>TrinityHaus</w:t>
            </w:r>
            <w:r>
              <w:rPr>
                <w:rFonts w:asciiTheme="minorHAnsi" w:hAnsiTheme="minorHAnsi" w:cstheme="minorHAnsi"/>
                <w:sz w:val="23"/>
                <w:szCs w:val="23"/>
                <w:lang w:eastAsia="en-IE"/>
              </w:rPr>
              <w:t xml:space="preserve">, </w:t>
            </w:r>
            <w:r w:rsidRPr="0037568C">
              <w:rPr>
                <w:rFonts w:asciiTheme="minorHAnsi" w:hAnsiTheme="minorHAnsi" w:cstheme="minorHAnsi"/>
                <w:sz w:val="23"/>
                <w:szCs w:val="23"/>
                <w:lang w:eastAsia="en-IE"/>
              </w:rPr>
              <w:t>Trinity College Dublin</w:t>
            </w:r>
            <w:r>
              <w:rPr>
                <w:rFonts w:asciiTheme="minorHAnsi" w:hAnsiTheme="minorHAnsi" w:cstheme="minorHAnsi"/>
                <w:sz w:val="23"/>
                <w:szCs w:val="23"/>
                <w:lang w:eastAsia="en-IE"/>
              </w:rPr>
              <w:t xml:space="preserve">, </w:t>
            </w:r>
            <w:r w:rsidRPr="0037568C">
              <w:rPr>
                <w:rFonts w:asciiTheme="minorHAnsi" w:hAnsiTheme="minorHAnsi" w:cstheme="minorHAnsi"/>
                <w:sz w:val="23"/>
                <w:szCs w:val="23"/>
                <w:lang w:eastAsia="en-IE"/>
              </w:rPr>
              <w:t>Dublin 2</w:t>
            </w:r>
          </w:p>
          <w:p w14:paraId="07CE0AD6" w14:textId="77777777" w:rsidR="0037568C" w:rsidRPr="0037568C" w:rsidRDefault="0037568C" w:rsidP="0037568C">
            <w:pPr>
              <w:rPr>
                <w:rFonts w:asciiTheme="minorHAnsi" w:hAnsiTheme="minorHAnsi" w:cstheme="minorHAnsi"/>
                <w:sz w:val="23"/>
                <w:szCs w:val="23"/>
                <w:lang w:eastAsia="en-IE"/>
              </w:rPr>
            </w:pPr>
            <w:r w:rsidRPr="0037568C">
              <w:rPr>
                <w:rFonts w:asciiTheme="minorHAnsi" w:hAnsiTheme="minorHAnsi" w:cstheme="minorHAnsi"/>
                <w:b/>
                <w:bCs/>
                <w:sz w:val="23"/>
                <w:szCs w:val="23"/>
                <w:lang w:eastAsia="en-IE"/>
              </w:rPr>
              <w:t>Tel:</w:t>
            </w:r>
            <w:r>
              <w:rPr>
                <w:rFonts w:asciiTheme="minorHAnsi" w:hAnsiTheme="minorHAnsi" w:cstheme="minorHAnsi"/>
                <w:sz w:val="23"/>
                <w:szCs w:val="23"/>
                <w:lang w:eastAsia="en-IE"/>
              </w:rPr>
              <w:t xml:space="preserve"> </w:t>
            </w:r>
            <w:r w:rsidRPr="0037568C">
              <w:rPr>
                <w:rFonts w:asciiTheme="minorHAnsi" w:hAnsiTheme="minorHAnsi" w:cstheme="minorHAnsi"/>
                <w:sz w:val="23"/>
                <w:szCs w:val="23"/>
                <w:lang w:eastAsia="en-IE"/>
              </w:rPr>
              <w:t>(01) 896 3802</w:t>
            </w:r>
          </w:p>
          <w:p w14:paraId="068279CE" w14:textId="77777777" w:rsidR="0037568C" w:rsidRPr="0037568C" w:rsidRDefault="0037568C" w:rsidP="0037568C">
            <w:pPr>
              <w:rPr>
                <w:rFonts w:asciiTheme="minorHAnsi" w:hAnsiTheme="minorHAnsi" w:cstheme="minorHAnsi"/>
                <w:sz w:val="23"/>
                <w:szCs w:val="23"/>
                <w:lang w:eastAsia="en-IE"/>
              </w:rPr>
            </w:pPr>
            <w:r w:rsidRPr="0037568C">
              <w:rPr>
                <w:rFonts w:asciiTheme="minorHAnsi" w:hAnsiTheme="minorHAnsi" w:cstheme="minorHAnsi"/>
                <w:b/>
                <w:bCs/>
                <w:sz w:val="23"/>
                <w:szCs w:val="23"/>
                <w:lang w:eastAsia="en-IE"/>
              </w:rPr>
              <w:t>Email</w:t>
            </w:r>
            <w:r w:rsidRPr="0037568C">
              <w:rPr>
                <w:rFonts w:asciiTheme="minorHAnsi" w:hAnsiTheme="minorHAnsi" w:cstheme="minorHAnsi"/>
                <w:sz w:val="23"/>
                <w:szCs w:val="23"/>
                <w:lang w:eastAsia="en-IE"/>
              </w:rPr>
              <w:t xml:space="preserve"> greyt@tcd.ie</w:t>
            </w:r>
          </w:p>
          <w:p w14:paraId="760F5B48" w14:textId="77777777" w:rsidR="0037568C" w:rsidRDefault="0037568C" w:rsidP="006D3EDD">
            <w:pPr>
              <w:rPr>
                <w:rFonts w:asciiTheme="minorHAnsi" w:hAnsiTheme="minorHAnsi" w:cstheme="minorHAnsi"/>
                <w:b/>
                <w:bCs/>
                <w:sz w:val="23"/>
                <w:szCs w:val="23"/>
              </w:rPr>
            </w:pPr>
          </w:p>
        </w:tc>
        <w:tc>
          <w:tcPr>
            <w:tcW w:w="5228" w:type="dxa"/>
          </w:tcPr>
          <w:p w14:paraId="63D2C6A5" w14:textId="77777777" w:rsidR="0037568C" w:rsidRPr="0037568C" w:rsidRDefault="0037568C" w:rsidP="0037568C">
            <w:pPr>
              <w:rPr>
                <w:rFonts w:asciiTheme="minorHAnsi" w:hAnsiTheme="minorHAnsi" w:cstheme="minorHAnsi"/>
                <w:sz w:val="23"/>
                <w:szCs w:val="23"/>
              </w:rPr>
            </w:pPr>
            <w:r w:rsidRPr="0037568C">
              <w:rPr>
                <w:rFonts w:asciiTheme="minorHAnsi" w:hAnsiTheme="minorHAnsi" w:cstheme="minorHAnsi"/>
                <w:sz w:val="23"/>
                <w:szCs w:val="23"/>
              </w:rPr>
              <w:t xml:space="preserve">Prof Desmond O’Neill </w:t>
            </w:r>
          </w:p>
          <w:p w14:paraId="281B8681" w14:textId="77777777" w:rsidR="0037568C" w:rsidRPr="0037568C" w:rsidRDefault="0037568C" w:rsidP="0037568C">
            <w:pPr>
              <w:rPr>
                <w:rFonts w:asciiTheme="minorHAnsi" w:hAnsiTheme="minorHAnsi" w:cstheme="minorHAnsi"/>
                <w:sz w:val="23"/>
                <w:szCs w:val="23"/>
              </w:rPr>
            </w:pPr>
            <w:r w:rsidRPr="0037568C">
              <w:rPr>
                <w:rFonts w:asciiTheme="minorHAnsi" w:hAnsiTheme="minorHAnsi" w:cstheme="minorHAnsi"/>
                <w:sz w:val="23"/>
                <w:szCs w:val="23"/>
              </w:rPr>
              <w:t>Centre for Ageing, Neuroscience and the Humanities, Tallaght University Hospital</w:t>
            </w:r>
          </w:p>
          <w:p w14:paraId="4303BF2E" w14:textId="77777777" w:rsidR="0037568C" w:rsidRPr="0037568C" w:rsidRDefault="0037568C" w:rsidP="0037568C">
            <w:pPr>
              <w:rPr>
                <w:rFonts w:asciiTheme="minorHAnsi" w:hAnsiTheme="minorHAnsi" w:cstheme="minorHAnsi"/>
                <w:sz w:val="23"/>
                <w:szCs w:val="23"/>
              </w:rPr>
            </w:pPr>
            <w:r w:rsidRPr="0037568C">
              <w:rPr>
                <w:rFonts w:asciiTheme="minorHAnsi" w:hAnsiTheme="minorHAnsi" w:cstheme="minorHAnsi"/>
                <w:b/>
                <w:bCs/>
                <w:sz w:val="23"/>
                <w:szCs w:val="23"/>
              </w:rPr>
              <w:t>Tel:</w:t>
            </w:r>
            <w:r w:rsidRPr="0037568C">
              <w:rPr>
                <w:rFonts w:asciiTheme="minorHAnsi" w:hAnsiTheme="minorHAnsi" w:cstheme="minorHAnsi"/>
                <w:sz w:val="23"/>
                <w:szCs w:val="23"/>
              </w:rPr>
              <w:t xml:space="preserve"> 086 826 0414 </w:t>
            </w:r>
            <w:r w:rsidRPr="0037568C">
              <w:rPr>
                <w:rFonts w:asciiTheme="minorHAnsi" w:hAnsiTheme="minorHAnsi" w:cstheme="minorHAnsi"/>
                <w:sz w:val="23"/>
                <w:szCs w:val="23"/>
              </w:rPr>
              <w:tab/>
            </w:r>
          </w:p>
          <w:p w14:paraId="01CA2A05" w14:textId="77777777" w:rsidR="0037568C" w:rsidRPr="0037568C" w:rsidRDefault="0037568C" w:rsidP="0037568C">
            <w:pPr>
              <w:rPr>
                <w:rFonts w:asciiTheme="minorHAnsi" w:hAnsiTheme="minorHAnsi" w:cstheme="minorHAnsi"/>
                <w:sz w:val="23"/>
                <w:szCs w:val="23"/>
              </w:rPr>
            </w:pPr>
            <w:r w:rsidRPr="0037568C">
              <w:rPr>
                <w:rFonts w:asciiTheme="minorHAnsi" w:hAnsiTheme="minorHAnsi" w:cstheme="minorHAnsi"/>
                <w:b/>
                <w:bCs/>
                <w:sz w:val="23"/>
                <w:szCs w:val="23"/>
              </w:rPr>
              <w:t>Email:</w:t>
            </w:r>
            <w:r w:rsidRPr="0037568C">
              <w:rPr>
                <w:rFonts w:asciiTheme="minorHAnsi" w:hAnsiTheme="minorHAnsi" w:cstheme="minorHAnsi"/>
                <w:sz w:val="23"/>
                <w:szCs w:val="23"/>
              </w:rPr>
              <w:t xml:space="preserve"> Desmond.ONeill@tuh.ie</w:t>
            </w:r>
          </w:p>
          <w:p w14:paraId="462DDE27" w14:textId="77777777" w:rsidR="0037568C" w:rsidRDefault="0037568C" w:rsidP="006D3EDD">
            <w:pPr>
              <w:rPr>
                <w:rFonts w:asciiTheme="minorHAnsi" w:hAnsiTheme="minorHAnsi" w:cstheme="minorHAnsi"/>
                <w:b/>
                <w:bCs/>
                <w:sz w:val="23"/>
                <w:szCs w:val="23"/>
              </w:rPr>
            </w:pPr>
          </w:p>
        </w:tc>
      </w:tr>
    </w:tbl>
    <w:p w14:paraId="6F293A48" w14:textId="3916E30F" w:rsidR="00D02CB1" w:rsidRDefault="00D02CB1" w:rsidP="00D059C8">
      <w:pPr>
        <w:jc w:val="both"/>
        <w:rPr>
          <w:rFonts w:asciiTheme="minorHAnsi" w:hAnsiTheme="minorHAnsi" w:cstheme="minorHAnsi"/>
          <w:sz w:val="23"/>
          <w:szCs w:val="23"/>
          <w:lang w:val="en-IE"/>
        </w:rPr>
      </w:pPr>
    </w:p>
    <w:p w14:paraId="3E118221" w14:textId="70D86BBB" w:rsidR="0037568C" w:rsidRPr="0037568C" w:rsidRDefault="0037568C" w:rsidP="00D059C8">
      <w:pPr>
        <w:jc w:val="both"/>
        <w:rPr>
          <w:rFonts w:asciiTheme="minorHAnsi" w:hAnsiTheme="minorHAnsi" w:cstheme="minorHAnsi"/>
          <w:b/>
          <w:bCs/>
          <w:sz w:val="23"/>
          <w:szCs w:val="23"/>
          <w:lang w:val="en-IE"/>
        </w:rPr>
      </w:pPr>
      <w:r w:rsidRPr="0037568C">
        <w:rPr>
          <w:rFonts w:asciiTheme="minorHAnsi" w:hAnsiTheme="minorHAnsi" w:cstheme="minorHAnsi"/>
          <w:b/>
          <w:bCs/>
          <w:sz w:val="23"/>
          <w:szCs w:val="23"/>
          <w:lang w:val="en-IE"/>
        </w:rPr>
        <w:t>Research study funded by:</w:t>
      </w:r>
    </w:p>
    <w:p w14:paraId="39A9D900" w14:textId="77777777" w:rsidR="0037568C" w:rsidRDefault="0037568C" w:rsidP="00D059C8">
      <w:pPr>
        <w:jc w:val="both"/>
        <w:rPr>
          <w:rFonts w:asciiTheme="minorHAnsi" w:hAnsiTheme="minorHAnsi" w:cstheme="minorHAnsi"/>
          <w:sz w:val="23"/>
          <w:szCs w:val="23"/>
          <w:lang w:val="en-IE"/>
        </w:rPr>
      </w:pPr>
    </w:p>
    <w:p w14:paraId="3D6C5C9A" w14:textId="012952BF" w:rsidR="0037568C" w:rsidRPr="006D3EDD" w:rsidRDefault="0037568C" w:rsidP="0037568C">
      <w:pPr>
        <w:jc w:val="center"/>
        <w:rPr>
          <w:rFonts w:asciiTheme="minorHAnsi" w:hAnsiTheme="minorHAnsi" w:cstheme="minorHAnsi"/>
          <w:sz w:val="23"/>
          <w:szCs w:val="23"/>
          <w:lang w:val="en-IE"/>
        </w:rPr>
      </w:pPr>
      <w:r>
        <w:rPr>
          <w:noProof/>
          <w:lang w:val="en-IE" w:eastAsia="en-IE"/>
        </w:rPr>
        <w:drawing>
          <wp:inline distT="0" distB="0" distL="0" distR="0" wp14:anchorId="295811DA" wp14:editId="4E67FC1D">
            <wp:extent cx="4333755" cy="741390"/>
            <wp:effectExtent l="0" t="0" r="0" b="190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51367" cy="761510"/>
                    </a:xfrm>
                    <a:prstGeom prst="rect">
                      <a:avLst/>
                    </a:prstGeom>
                  </pic:spPr>
                </pic:pic>
              </a:graphicData>
            </a:graphic>
          </wp:inline>
        </w:drawing>
      </w:r>
    </w:p>
    <w:sectPr w:rsidR="0037568C" w:rsidRPr="006D3EDD" w:rsidSect="000C68FE">
      <w:footerReference w:type="default" r:id="rId16"/>
      <w:headerReference w:type="first" r:id="rId17"/>
      <w:footerReference w:type="first" r:id="rId18"/>
      <w:pgSz w:w="11906" w:h="16838"/>
      <w:pgMar w:top="720" w:right="720" w:bottom="62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1FCE2" w14:textId="77777777" w:rsidR="003E51AA" w:rsidRDefault="003E51AA" w:rsidP="00B455CE">
      <w:r>
        <w:separator/>
      </w:r>
    </w:p>
  </w:endnote>
  <w:endnote w:type="continuationSeparator" w:id="0">
    <w:p w14:paraId="4B3BF349" w14:textId="77777777" w:rsidR="003E51AA" w:rsidRDefault="003E51AA" w:rsidP="00B4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71697"/>
      <w:docPartObj>
        <w:docPartGallery w:val="Page Numbers (Bottom of Page)"/>
        <w:docPartUnique/>
      </w:docPartObj>
    </w:sdtPr>
    <w:sdtEndPr/>
    <w:sdtContent>
      <w:sdt>
        <w:sdtPr>
          <w:id w:val="21571698"/>
          <w:docPartObj>
            <w:docPartGallery w:val="Page Numbers (Top of Page)"/>
            <w:docPartUnique/>
          </w:docPartObj>
        </w:sdtPr>
        <w:sdtEndPr/>
        <w:sdtContent>
          <w:p w14:paraId="60006CD1" w14:textId="77777777" w:rsidR="00482288" w:rsidRDefault="00D02CB1">
            <w:pPr>
              <w:pStyle w:val="Footer"/>
              <w:jc w:val="center"/>
            </w:pPr>
            <w:r>
              <w:rPr>
                <w:noProof/>
              </w:rPr>
              <w:fldChar w:fldCharType="begin"/>
            </w:r>
            <w:r>
              <w:rPr>
                <w:noProof/>
              </w:rPr>
              <w:instrText xml:space="preserve"> PAGE </w:instrText>
            </w:r>
            <w:r>
              <w:rPr>
                <w:noProof/>
              </w:rPr>
              <w:fldChar w:fldCharType="separate"/>
            </w:r>
            <w:r w:rsidR="00482288">
              <w:rPr>
                <w:noProof/>
              </w:rPr>
              <w:t>2</w:t>
            </w:r>
            <w:r>
              <w:rPr>
                <w:noProof/>
              </w:rPr>
              <w:fldChar w:fldCharType="end"/>
            </w:r>
          </w:p>
        </w:sdtContent>
      </w:sdt>
    </w:sdtContent>
  </w:sdt>
  <w:p w14:paraId="0B5B807F" w14:textId="77777777" w:rsidR="00482288" w:rsidRDefault="00482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9817B" w14:textId="77777777" w:rsidR="00482288" w:rsidRDefault="00482288" w:rsidP="00482288">
    <w:pPr>
      <w:rPr>
        <w:rFonts w:ascii="Book Antiqua" w:hAnsi="Book Antiqua"/>
        <w:color w:val="1F497D"/>
        <w:lang w:val="en-GB"/>
      </w:rPr>
    </w:pPr>
  </w:p>
  <w:p w14:paraId="203934A9" w14:textId="77777777" w:rsidR="00482288" w:rsidRDefault="00482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67F8D" w14:textId="77777777" w:rsidR="003E51AA" w:rsidRDefault="003E51AA" w:rsidP="00B455CE">
      <w:r>
        <w:separator/>
      </w:r>
    </w:p>
  </w:footnote>
  <w:footnote w:type="continuationSeparator" w:id="0">
    <w:p w14:paraId="7A0BBE04" w14:textId="77777777" w:rsidR="003E51AA" w:rsidRDefault="003E51AA" w:rsidP="00B45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C26EA" w14:textId="4F6A1230" w:rsidR="00A77650" w:rsidRDefault="00A77650" w:rsidP="00A77650">
    <w:pPr>
      <w:pStyle w:val="Header"/>
      <w:tabs>
        <w:tab w:val="clear" w:pos="9026"/>
        <w:tab w:val="right" w:pos="10466"/>
      </w:tabs>
    </w:pPr>
    <w:r>
      <w:rPr>
        <w:noProof/>
      </w:rPr>
      <w:drawing>
        <wp:inline distT="0" distB="0" distL="0" distR="0" wp14:anchorId="5D4D8BF2" wp14:editId="750C2460">
          <wp:extent cx="2986125" cy="878205"/>
          <wp:effectExtent l="0" t="0" r="5080" b="0"/>
          <wp:docPr id="8" name="Picture 8" descr="Information about Tallaght University Hospital /TCPHI partnership - Trinity  Centre for Practice and Healthcare Innovation - Trinity College Dub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formation about Tallaght University Hospital /TCPHI partnership - Trinity  Centre for Practice and Healthcare Innovation - Trinity College Dubl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3454" cy="880360"/>
                  </a:xfrm>
                  <a:prstGeom prst="rect">
                    <a:avLst/>
                  </a:prstGeom>
                  <a:noFill/>
                  <a:ln>
                    <a:noFill/>
                  </a:ln>
                </pic:spPr>
              </pic:pic>
            </a:graphicData>
          </a:graphic>
        </wp:inline>
      </w:drawing>
    </w:r>
    <w:r w:rsidRPr="00A77650">
      <w:t xml:space="preserve"> </w:t>
    </w:r>
    <w:r>
      <w:tab/>
    </w:r>
    <w:r>
      <w:rPr>
        <w:noProof/>
      </w:rPr>
      <w:drawing>
        <wp:inline distT="0" distB="0" distL="0" distR="0" wp14:anchorId="149DB541" wp14:editId="5064FA24">
          <wp:extent cx="2985770" cy="1030157"/>
          <wp:effectExtent l="0" t="0" r="5080" b="0"/>
          <wp:docPr id="9" name="Picture 9" descr="Trinity College Dublin, the University of Dublin,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inity College Dublin, the University of Dublin, Irel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6570" cy="1047684"/>
                  </a:xfrm>
                  <a:prstGeom prst="rect">
                    <a:avLst/>
                  </a:prstGeom>
                  <a:noFill/>
                  <a:ln>
                    <a:noFill/>
                  </a:ln>
                </pic:spPr>
              </pic:pic>
            </a:graphicData>
          </a:graphic>
        </wp:inline>
      </w:drawing>
    </w:r>
  </w:p>
  <w:p w14:paraId="223539AF" w14:textId="5FAB9190" w:rsidR="00482288" w:rsidRDefault="00482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22E7"/>
    <w:multiLevelType w:val="hybridMultilevel"/>
    <w:tmpl w:val="47EECF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2071F0B"/>
    <w:multiLevelType w:val="hybridMultilevel"/>
    <w:tmpl w:val="33E09826"/>
    <w:lvl w:ilvl="0" w:tplc="EA1613B4">
      <w:start w:val="1"/>
      <w:numFmt w:val="decimal"/>
      <w:lvlText w:val="%1."/>
      <w:lvlJc w:val="left"/>
      <w:pPr>
        <w:ind w:left="644" w:hanging="360"/>
      </w:pPr>
      <w:rPr>
        <w:b w:val="0"/>
        <w:bCs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8E5"/>
    <w:rsid w:val="000032AA"/>
    <w:rsid w:val="00082AC8"/>
    <w:rsid w:val="000C68FE"/>
    <w:rsid w:val="001375C3"/>
    <w:rsid w:val="001804FA"/>
    <w:rsid w:val="001856F1"/>
    <w:rsid w:val="001904C6"/>
    <w:rsid w:val="001B50C0"/>
    <w:rsid w:val="00267549"/>
    <w:rsid w:val="00295F21"/>
    <w:rsid w:val="00296AC1"/>
    <w:rsid w:val="002F0FF6"/>
    <w:rsid w:val="002F3CE0"/>
    <w:rsid w:val="0031750F"/>
    <w:rsid w:val="00323164"/>
    <w:rsid w:val="00334187"/>
    <w:rsid w:val="0037568C"/>
    <w:rsid w:val="003958E5"/>
    <w:rsid w:val="003B5DAB"/>
    <w:rsid w:val="003E51AA"/>
    <w:rsid w:val="00405CFF"/>
    <w:rsid w:val="00453B23"/>
    <w:rsid w:val="004619E1"/>
    <w:rsid w:val="00482140"/>
    <w:rsid w:val="00482288"/>
    <w:rsid w:val="0049753D"/>
    <w:rsid w:val="005B2BAD"/>
    <w:rsid w:val="00642B1A"/>
    <w:rsid w:val="006D1289"/>
    <w:rsid w:val="006D3EDD"/>
    <w:rsid w:val="00763A29"/>
    <w:rsid w:val="00763E85"/>
    <w:rsid w:val="007A0847"/>
    <w:rsid w:val="007C2A07"/>
    <w:rsid w:val="007F2DE5"/>
    <w:rsid w:val="00800DE5"/>
    <w:rsid w:val="008045B6"/>
    <w:rsid w:val="00804F5C"/>
    <w:rsid w:val="00805A62"/>
    <w:rsid w:val="008342B2"/>
    <w:rsid w:val="0085255F"/>
    <w:rsid w:val="008549EF"/>
    <w:rsid w:val="00855185"/>
    <w:rsid w:val="009343A4"/>
    <w:rsid w:val="0098657C"/>
    <w:rsid w:val="009C1A8F"/>
    <w:rsid w:val="009F2D26"/>
    <w:rsid w:val="00A65833"/>
    <w:rsid w:val="00A77650"/>
    <w:rsid w:val="00AE1CC5"/>
    <w:rsid w:val="00B069E5"/>
    <w:rsid w:val="00B12DD0"/>
    <w:rsid w:val="00B24C4C"/>
    <w:rsid w:val="00B455CE"/>
    <w:rsid w:val="00B5165A"/>
    <w:rsid w:val="00B627FC"/>
    <w:rsid w:val="00BE0045"/>
    <w:rsid w:val="00C472F1"/>
    <w:rsid w:val="00C84157"/>
    <w:rsid w:val="00C86669"/>
    <w:rsid w:val="00C976C7"/>
    <w:rsid w:val="00C97E86"/>
    <w:rsid w:val="00CE61F5"/>
    <w:rsid w:val="00CE74BA"/>
    <w:rsid w:val="00CF3546"/>
    <w:rsid w:val="00CF7124"/>
    <w:rsid w:val="00D02CB1"/>
    <w:rsid w:val="00D059C8"/>
    <w:rsid w:val="00D47A73"/>
    <w:rsid w:val="00E32692"/>
    <w:rsid w:val="00E359E9"/>
    <w:rsid w:val="00E6707A"/>
    <w:rsid w:val="00EE2ECD"/>
    <w:rsid w:val="00F91B79"/>
    <w:rsid w:val="00F96CB4"/>
    <w:rsid w:val="00FD60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6DC81"/>
  <w15:docId w15:val="{6E3B88D0-1C30-4664-BE0C-13400BD5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B23"/>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C68F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65833"/>
    <w:pPr>
      <w:keepNext/>
      <w:jc w:val="center"/>
      <w:outlineLvl w:val="1"/>
    </w:pPr>
    <w:rPr>
      <w:b/>
      <w:i/>
      <w:sz w:val="24"/>
      <w:u w:val="single"/>
      <w:lang w:val="en-GB"/>
    </w:rPr>
  </w:style>
  <w:style w:type="paragraph" w:styleId="Heading3">
    <w:name w:val="heading 3"/>
    <w:basedOn w:val="Normal"/>
    <w:next w:val="Normal"/>
    <w:link w:val="Heading3Char"/>
    <w:qFormat/>
    <w:rsid w:val="00A65833"/>
    <w:pPr>
      <w:keepNext/>
      <w:outlineLvl w:val="2"/>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5CE"/>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B455CE"/>
  </w:style>
  <w:style w:type="paragraph" w:styleId="Footer">
    <w:name w:val="footer"/>
    <w:basedOn w:val="Normal"/>
    <w:link w:val="FooterChar"/>
    <w:uiPriority w:val="99"/>
    <w:unhideWhenUsed/>
    <w:rsid w:val="00B455CE"/>
    <w:pPr>
      <w:tabs>
        <w:tab w:val="center" w:pos="4513"/>
        <w:tab w:val="right" w:pos="9026"/>
      </w:tabs>
    </w:pPr>
    <w:rPr>
      <w:rFonts w:asciiTheme="minorHAnsi" w:eastAsiaTheme="minorHAnsi" w:hAnsiTheme="minorHAnsi" w:cstheme="minorBidi"/>
      <w:sz w:val="22"/>
      <w:szCs w:val="22"/>
      <w:lang w:val="en-IE"/>
    </w:rPr>
  </w:style>
  <w:style w:type="character" w:customStyle="1" w:styleId="FooterChar">
    <w:name w:val="Footer Char"/>
    <w:basedOn w:val="DefaultParagraphFont"/>
    <w:link w:val="Footer"/>
    <w:uiPriority w:val="99"/>
    <w:rsid w:val="00B455CE"/>
  </w:style>
  <w:style w:type="paragraph" w:styleId="BodyText">
    <w:name w:val="Body Text"/>
    <w:basedOn w:val="Normal"/>
    <w:link w:val="BodyTextChar"/>
    <w:rsid w:val="00B455CE"/>
    <w:rPr>
      <w:i/>
      <w:sz w:val="28"/>
      <w:lang w:val="en-GB" w:eastAsia="en-GB"/>
    </w:rPr>
  </w:style>
  <w:style w:type="character" w:customStyle="1" w:styleId="BodyTextChar">
    <w:name w:val="Body Text Char"/>
    <w:basedOn w:val="DefaultParagraphFont"/>
    <w:link w:val="BodyText"/>
    <w:rsid w:val="00B455CE"/>
    <w:rPr>
      <w:rFonts w:ascii="Times New Roman" w:eastAsia="Times New Roman" w:hAnsi="Times New Roman" w:cs="Times New Roman"/>
      <w:i/>
      <w:sz w:val="28"/>
      <w:szCs w:val="20"/>
      <w:lang w:val="en-GB" w:eastAsia="en-GB"/>
    </w:rPr>
  </w:style>
  <w:style w:type="character" w:styleId="Hyperlink">
    <w:name w:val="Hyperlink"/>
    <w:basedOn w:val="DefaultParagraphFont"/>
    <w:rsid w:val="00B455CE"/>
    <w:rPr>
      <w:color w:val="0000FF"/>
      <w:u w:val="single"/>
    </w:rPr>
  </w:style>
  <w:style w:type="character" w:styleId="FollowedHyperlink">
    <w:name w:val="FollowedHyperlink"/>
    <w:basedOn w:val="DefaultParagraphFont"/>
    <w:uiPriority w:val="99"/>
    <w:semiHidden/>
    <w:unhideWhenUsed/>
    <w:rsid w:val="00B455CE"/>
    <w:rPr>
      <w:color w:val="800080" w:themeColor="followedHyperlink"/>
      <w:u w:val="single"/>
    </w:rPr>
  </w:style>
  <w:style w:type="paragraph" w:styleId="BalloonText">
    <w:name w:val="Balloon Text"/>
    <w:basedOn w:val="Normal"/>
    <w:link w:val="BalloonTextChar"/>
    <w:uiPriority w:val="99"/>
    <w:semiHidden/>
    <w:unhideWhenUsed/>
    <w:rsid w:val="00B455CE"/>
    <w:rPr>
      <w:rFonts w:ascii="Tahoma" w:hAnsi="Tahoma" w:cs="Tahoma"/>
      <w:sz w:val="16"/>
      <w:szCs w:val="16"/>
    </w:rPr>
  </w:style>
  <w:style w:type="character" w:customStyle="1" w:styleId="BalloonTextChar">
    <w:name w:val="Balloon Text Char"/>
    <w:basedOn w:val="DefaultParagraphFont"/>
    <w:link w:val="BalloonText"/>
    <w:uiPriority w:val="99"/>
    <w:semiHidden/>
    <w:rsid w:val="00B455CE"/>
    <w:rPr>
      <w:rFonts w:ascii="Tahoma" w:hAnsi="Tahoma" w:cs="Tahoma"/>
      <w:sz w:val="16"/>
      <w:szCs w:val="16"/>
    </w:rPr>
  </w:style>
  <w:style w:type="paragraph" w:styleId="PlainText">
    <w:name w:val="Plain Text"/>
    <w:basedOn w:val="Normal"/>
    <w:link w:val="PlainTextChar"/>
    <w:rsid w:val="00805A62"/>
    <w:rPr>
      <w:rFonts w:ascii="Courier New" w:hAnsi="Courier New" w:cs="Courier New"/>
      <w:lang w:val="en-GB" w:eastAsia="en-GB"/>
    </w:rPr>
  </w:style>
  <w:style w:type="character" w:customStyle="1" w:styleId="PlainTextChar">
    <w:name w:val="Plain Text Char"/>
    <w:basedOn w:val="DefaultParagraphFont"/>
    <w:link w:val="PlainText"/>
    <w:rsid w:val="00805A62"/>
    <w:rPr>
      <w:rFonts w:ascii="Courier New" w:eastAsia="Times New Roman" w:hAnsi="Courier New" w:cs="Courier New"/>
      <w:sz w:val="20"/>
      <w:szCs w:val="20"/>
      <w:lang w:val="en-GB" w:eastAsia="en-GB"/>
    </w:rPr>
  </w:style>
  <w:style w:type="paragraph" w:styleId="NormalWeb">
    <w:name w:val="Normal (Web)"/>
    <w:basedOn w:val="Normal"/>
    <w:uiPriority w:val="99"/>
    <w:rsid w:val="00453B23"/>
    <w:pPr>
      <w:spacing w:before="100" w:beforeAutospacing="1" w:after="100" w:afterAutospacing="1"/>
    </w:pPr>
    <w:rPr>
      <w:sz w:val="24"/>
      <w:szCs w:val="24"/>
      <w:lang w:val="en-GB" w:eastAsia="en-GB"/>
    </w:rPr>
  </w:style>
  <w:style w:type="character" w:customStyle="1" w:styleId="Heading2Char">
    <w:name w:val="Heading 2 Char"/>
    <w:basedOn w:val="DefaultParagraphFont"/>
    <w:link w:val="Heading2"/>
    <w:rsid w:val="00A65833"/>
    <w:rPr>
      <w:rFonts w:ascii="Times New Roman" w:eastAsia="Times New Roman" w:hAnsi="Times New Roman" w:cs="Times New Roman"/>
      <w:b/>
      <w:i/>
      <w:sz w:val="24"/>
      <w:szCs w:val="20"/>
      <w:u w:val="single"/>
      <w:lang w:val="en-GB"/>
    </w:rPr>
  </w:style>
  <w:style w:type="character" w:customStyle="1" w:styleId="Heading3Char">
    <w:name w:val="Heading 3 Char"/>
    <w:basedOn w:val="DefaultParagraphFont"/>
    <w:link w:val="Heading3"/>
    <w:rsid w:val="00A65833"/>
    <w:rPr>
      <w:rFonts w:ascii="Times New Roman" w:eastAsia="Times New Roman" w:hAnsi="Times New Roman" w:cs="Times New Roman"/>
      <w:sz w:val="24"/>
      <w:szCs w:val="20"/>
      <w:lang w:val="en-GB"/>
    </w:rPr>
  </w:style>
  <w:style w:type="paragraph" w:styleId="BodyText2">
    <w:name w:val="Body Text 2"/>
    <w:basedOn w:val="Normal"/>
    <w:link w:val="BodyText2Char"/>
    <w:rsid w:val="00A65833"/>
    <w:pPr>
      <w:spacing w:after="120" w:line="480" w:lineRule="auto"/>
    </w:pPr>
    <w:rPr>
      <w:lang w:val="en-GB"/>
    </w:rPr>
  </w:style>
  <w:style w:type="character" w:customStyle="1" w:styleId="BodyText2Char">
    <w:name w:val="Body Text 2 Char"/>
    <w:basedOn w:val="DefaultParagraphFont"/>
    <w:link w:val="BodyText2"/>
    <w:rsid w:val="00A65833"/>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D3EDD"/>
    <w:pPr>
      <w:spacing w:after="200" w:line="276" w:lineRule="auto"/>
      <w:ind w:left="720"/>
      <w:contextualSpacing/>
    </w:pPr>
    <w:rPr>
      <w:rFonts w:ascii="Calibri" w:hAnsi="Calibri"/>
      <w:sz w:val="22"/>
      <w:szCs w:val="22"/>
      <w:lang w:val="en-IE"/>
    </w:rPr>
  </w:style>
  <w:style w:type="table" w:styleId="TableGrid">
    <w:name w:val="Table Grid"/>
    <w:basedOn w:val="TableNormal"/>
    <w:rsid w:val="00A77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B627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0C68FE"/>
    <w:rPr>
      <w:rFonts w:asciiTheme="majorHAnsi" w:eastAsiaTheme="majorEastAsia" w:hAnsiTheme="majorHAnsi" w:cstheme="majorBidi"/>
      <w:color w:val="365F91" w:themeColor="accent1" w:themeShade="BF"/>
      <w:sz w:val="32"/>
      <w:szCs w:val="32"/>
      <w:lang w:val="en-US"/>
    </w:rPr>
  </w:style>
  <w:style w:type="character" w:customStyle="1" w:styleId="normaltextrun">
    <w:name w:val="normaltextrun"/>
    <w:basedOn w:val="DefaultParagraphFont"/>
    <w:rsid w:val="0037568C"/>
  </w:style>
  <w:style w:type="character" w:customStyle="1" w:styleId="eop">
    <w:name w:val="eop"/>
    <w:basedOn w:val="DefaultParagraphFont"/>
    <w:rsid w:val="00375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78061">
      <w:bodyDiv w:val="1"/>
      <w:marLeft w:val="0"/>
      <w:marRight w:val="0"/>
      <w:marTop w:val="0"/>
      <w:marBottom w:val="0"/>
      <w:divBdr>
        <w:top w:val="none" w:sz="0" w:space="0" w:color="auto"/>
        <w:left w:val="none" w:sz="0" w:space="0" w:color="auto"/>
        <w:bottom w:val="none" w:sz="0" w:space="0" w:color="auto"/>
        <w:right w:val="none" w:sz="0" w:space="0" w:color="auto"/>
      </w:divBdr>
    </w:div>
    <w:div w:id="653608457">
      <w:bodyDiv w:val="1"/>
      <w:marLeft w:val="0"/>
      <w:marRight w:val="0"/>
      <w:marTop w:val="0"/>
      <w:marBottom w:val="0"/>
      <w:divBdr>
        <w:top w:val="none" w:sz="0" w:space="0" w:color="auto"/>
        <w:left w:val="none" w:sz="0" w:space="0" w:color="auto"/>
        <w:bottom w:val="none" w:sz="0" w:space="0" w:color="auto"/>
        <w:right w:val="none" w:sz="0" w:space="0" w:color="auto"/>
      </w:divBdr>
    </w:div>
    <w:div w:id="901912861">
      <w:bodyDiv w:val="1"/>
      <w:marLeft w:val="0"/>
      <w:marRight w:val="0"/>
      <w:marTop w:val="0"/>
      <w:marBottom w:val="0"/>
      <w:divBdr>
        <w:top w:val="none" w:sz="0" w:space="0" w:color="auto"/>
        <w:left w:val="none" w:sz="0" w:space="0" w:color="auto"/>
        <w:bottom w:val="none" w:sz="0" w:space="0" w:color="auto"/>
        <w:right w:val="none" w:sz="0" w:space="0" w:color="auto"/>
      </w:divBdr>
    </w:div>
    <w:div w:id="1138106008">
      <w:bodyDiv w:val="1"/>
      <w:marLeft w:val="0"/>
      <w:marRight w:val="0"/>
      <w:marTop w:val="0"/>
      <w:marBottom w:val="0"/>
      <w:divBdr>
        <w:top w:val="none" w:sz="0" w:space="0" w:color="auto"/>
        <w:left w:val="none" w:sz="0" w:space="0" w:color="auto"/>
        <w:bottom w:val="none" w:sz="0" w:space="0" w:color="auto"/>
        <w:right w:val="none" w:sz="0" w:space="0" w:color="auto"/>
      </w:divBdr>
    </w:div>
    <w:div w:id="1387800288">
      <w:bodyDiv w:val="1"/>
      <w:marLeft w:val="0"/>
      <w:marRight w:val="0"/>
      <w:marTop w:val="0"/>
      <w:marBottom w:val="0"/>
      <w:divBdr>
        <w:top w:val="none" w:sz="0" w:space="0" w:color="auto"/>
        <w:left w:val="none" w:sz="0" w:space="0" w:color="auto"/>
        <w:bottom w:val="none" w:sz="0" w:space="0" w:color="auto"/>
        <w:right w:val="none" w:sz="0" w:space="0" w:color="auto"/>
      </w:divBdr>
      <w:divsChild>
        <w:div w:id="1256599776">
          <w:marLeft w:val="0"/>
          <w:marRight w:val="0"/>
          <w:marTop w:val="0"/>
          <w:marBottom w:val="0"/>
          <w:divBdr>
            <w:top w:val="none" w:sz="0" w:space="0" w:color="auto"/>
            <w:left w:val="none" w:sz="0" w:space="0" w:color="auto"/>
            <w:bottom w:val="none" w:sz="0" w:space="0" w:color="auto"/>
            <w:right w:val="none" w:sz="0" w:space="0" w:color="auto"/>
          </w:divBdr>
          <w:divsChild>
            <w:div w:id="1516993603">
              <w:marLeft w:val="0"/>
              <w:marRight w:val="0"/>
              <w:marTop w:val="0"/>
              <w:marBottom w:val="0"/>
              <w:divBdr>
                <w:top w:val="none" w:sz="0" w:space="0" w:color="auto"/>
                <w:left w:val="none" w:sz="0" w:space="0" w:color="auto"/>
                <w:bottom w:val="none" w:sz="0" w:space="0" w:color="auto"/>
                <w:right w:val="none" w:sz="0" w:space="0" w:color="auto"/>
              </w:divBdr>
              <w:divsChild>
                <w:div w:id="622616348">
                  <w:marLeft w:val="0"/>
                  <w:marRight w:val="0"/>
                  <w:marTop w:val="0"/>
                  <w:marBottom w:val="0"/>
                  <w:divBdr>
                    <w:top w:val="none" w:sz="0" w:space="0" w:color="auto"/>
                    <w:left w:val="none" w:sz="0" w:space="0" w:color="auto"/>
                    <w:bottom w:val="none" w:sz="0" w:space="0" w:color="auto"/>
                    <w:right w:val="none" w:sz="0" w:space="0" w:color="auto"/>
                  </w:divBdr>
                  <w:divsChild>
                    <w:div w:id="305361411">
                      <w:marLeft w:val="0"/>
                      <w:marRight w:val="345"/>
                      <w:marTop w:val="0"/>
                      <w:marBottom w:val="0"/>
                      <w:divBdr>
                        <w:top w:val="none" w:sz="0" w:space="0" w:color="auto"/>
                        <w:left w:val="none" w:sz="0" w:space="0" w:color="auto"/>
                        <w:bottom w:val="none" w:sz="0" w:space="0" w:color="auto"/>
                        <w:right w:val="none" w:sz="0" w:space="0" w:color="auto"/>
                      </w:divBdr>
                      <w:divsChild>
                        <w:div w:id="1247034923">
                          <w:marLeft w:val="0"/>
                          <w:marRight w:val="0"/>
                          <w:marTop w:val="0"/>
                          <w:marBottom w:val="0"/>
                          <w:divBdr>
                            <w:top w:val="none" w:sz="0" w:space="0" w:color="auto"/>
                            <w:left w:val="none" w:sz="0" w:space="0" w:color="auto"/>
                            <w:bottom w:val="none" w:sz="0" w:space="0" w:color="auto"/>
                            <w:right w:val="none" w:sz="0" w:space="0" w:color="auto"/>
                          </w:divBdr>
                        </w:div>
                      </w:divsChild>
                    </w:div>
                    <w:div w:id="1633171024">
                      <w:marLeft w:val="0"/>
                      <w:marRight w:val="345"/>
                      <w:marTop w:val="0"/>
                      <w:marBottom w:val="0"/>
                      <w:divBdr>
                        <w:top w:val="none" w:sz="0" w:space="0" w:color="auto"/>
                        <w:left w:val="none" w:sz="0" w:space="0" w:color="auto"/>
                        <w:bottom w:val="none" w:sz="0" w:space="0" w:color="auto"/>
                        <w:right w:val="none" w:sz="0" w:space="0" w:color="auto"/>
                      </w:divBdr>
                      <w:divsChild>
                        <w:div w:id="4402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28502">
          <w:marLeft w:val="0"/>
          <w:marRight w:val="0"/>
          <w:marTop w:val="0"/>
          <w:marBottom w:val="0"/>
          <w:divBdr>
            <w:top w:val="none" w:sz="0" w:space="0" w:color="auto"/>
            <w:left w:val="none" w:sz="0" w:space="0" w:color="auto"/>
            <w:bottom w:val="none" w:sz="0" w:space="0" w:color="auto"/>
            <w:right w:val="none" w:sz="0" w:space="0" w:color="auto"/>
          </w:divBdr>
          <w:divsChild>
            <w:div w:id="1724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etrust.org.u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files.bregroup.com/bretrust/BRE_Trust_The_Cost_of_Poor_Housing_in_Ireland.pdf" TargetMode="Externa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Emer Coveney</cp:lastModifiedBy>
  <cp:revision>3</cp:revision>
  <cp:lastPrinted>2017-11-28T09:18:00Z</cp:lastPrinted>
  <dcterms:created xsi:type="dcterms:W3CDTF">2021-10-14T13:39:00Z</dcterms:created>
  <dcterms:modified xsi:type="dcterms:W3CDTF">2021-10-18T16:16:00Z</dcterms:modified>
</cp:coreProperties>
</file>